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886" w:rsidRDefault="007B2FA1">
      <w:pPr>
        <w:snapToGrid w:val="0"/>
        <w:spacing w:line="360" w:lineRule="auto"/>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西青区</w:t>
      </w:r>
      <w:r>
        <w:rPr>
          <w:rFonts w:ascii="Times New Roman" w:eastAsia="宋体" w:hAnsi="Times New Roman" w:cs="Times New Roman" w:hint="eastAsia"/>
          <w:b/>
          <w:sz w:val="32"/>
          <w:szCs w:val="32"/>
        </w:rPr>
        <w:t>2021</w:t>
      </w:r>
      <w:r>
        <w:rPr>
          <w:rFonts w:ascii="Times New Roman" w:eastAsia="宋体" w:hAnsi="Times New Roman" w:cs="Times New Roman" w:hint="eastAsia"/>
          <w:b/>
          <w:sz w:val="32"/>
          <w:szCs w:val="32"/>
        </w:rPr>
        <w:t>年区域医疗卫生服务体系筑底项目</w:t>
      </w:r>
    </w:p>
    <w:p w:rsidR="00D23886" w:rsidRDefault="007B2FA1">
      <w:pPr>
        <w:snapToGrid w:val="0"/>
        <w:spacing w:line="360" w:lineRule="auto"/>
        <w:jc w:val="center"/>
        <w:rPr>
          <w:rFonts w:ascii="Times New Roman" w:eastAsia="宋体" w:hAnsi="Times New Roman" w:cs="Times New Roman"/>
          <w:b/>
          <w:sz w:val="36"/>
          <w:szCs w:val="36"/>
        </w:rPr>
      </w:pPr>
      <w:r>
        <w:rPr>
          <w:rFonts w:ascii="Times New Roman" w:eastAsia="宋体" w:hAnsi="Times New Roman" w:cs="Times New Roman"/>
          <w:b/>
          <w:sz w:val="32"/>
          <w:szCs w:val="32"/>
        </w:rPr>
        <w:t>绩效评价报告</w:t>
      </w:r>
    </w:p>
    <w:p w:rsidR="00D23886" w:rsidRDefault="00D23886">
      <w:pPr>
        <w:ind w:firstLineChars="202" w:firstLine="485"/>
        <w:rPr>
          <w:rFonts w:ascii="Times New Roman" w:hAnsi="Times New Roman" w:cs="Times New Roman"/>
          <w:sz w:val="24"/>
          <w:szCs w:val="28"/>
        </w:rPr>
      </w:pPr>
    </w:p>
    <w:p w:rsidR="00D23886" w:rsidRDefault="007B2FA1">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sz w:val="24"/>
          <w:szCs w:val="24"/>
        </w:rPr>
        <w:t>为强化绩效预算管理，提高预算精细化、科学化管理水平，合理配置公共资源，发挥财政资金使用效益和引导作用，</w:t>
      </w:r>
      <w:r w:rsidR="00E00266">
        <w:rPr>
          <w:rFonts w:ascii="Times New Roman" w:eastAsia="宋体" w:hAnsi="Times New Roman" w:cs="Times New Roman" w:hint="eastAsia"/>
          <w:sz w:val="24"/>
          <w:szCs w:val="24"/>
        </w:rPr>
        <w:t>我们</w:t>
      </w:r>
      <w:r>
        <w:rPr>
          <w:rFonts w:ascii="Times New Roman" w:eastAsia="宋体" w:hAnsi="Times New Roman" w:cs="Times New Roman"/>
          <w:sz w:val="24"/>
          <w:szCs w:val="24"/>
        </w:rPr>
        <w:t>对</w:t>
      </w:r>
      <w:r>
        <w:rPr>
          <w:rFonts w:ascii="Times New Roman" w:eastAsia="宋体" w:hAnsi="Times New Roman" w:cs="Times New Roman" w:hint="eastAsia"/>
          <w:sz w:val="24"/>
          <w:szCs w:val="24"/>
        </w:rPr>
        <w:t>西青区</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年区域医疗卫生服务体系筑底项目（以下简称“筑底项目”）</w:t>
      </w:r>
      <w:r>
        <w:rPr>
          <w:rFonts w:ascii="Times New Roman" w:eastAsia="宋体" w:hAnsi="Times New Roman" w:cs="Times New Roman"/>
          <w:sz w:val="24"/>
          <w:szCs w:val="24"/>
        </w:rPr>
        <w:t>实施绩效评价，根据评价结果出具绩效评价报告。报告结果如下：</w:t>
      </w:r>
    </w:p>
    <w:p w:rsidR="00D23886" w:rsidRDefault="007B2FA1">
      <w:pPr>
        <w:pStyle w:val="1"/>
        <w:snapToGrid w:val="0"/>
        <w:ind w:left="420"/>
        <w:rPr>
          <w:rFonts w:ascii="Times New Roman" w:eastAsia="宋体" w:hAnsi="Times New Roman"/>
          <w:sz w:val="24"/>
          <w:szCs w:val="24"/>
        </w:rPr>
      </w:pPr>
      <w:bookmarkStart w:id="0" w:name="_Toc85135163"/>
      <w:bookmarkStart w:id="1" w:name="_Toc497174779"/>
      <w:r>
        <w:rPr>
          <w:rFonts w:ascii="Times New Roman" w:eastAsia="宋体" w:hAnsi="Times New Roman"/>
          <w:sz w:val="24"/>
          <w:szCs w:val="24"/>
        </w:rPr>
        <w:t>一、项目基本实施情况</w:t>
      </w:r>
      <w:bookmarkEnd w:id="0"/>
      <w:bookmarkEnd w:id="1"/>
    </w:p>
    <w:p w:rsidR="00D23886" w:rsidRDefault="007B2FA1">
      <w:pPr>
        <w:pStyle w:val="2"/>
        <w:snapToGrid w:val="0"/>
        <w:ind w:leftChars="0" w:left="0" w:firstLineChars="200" w:firstLine="482"/>
        <w:rPr>
          <w:rFonts w:ascii="Times New Roman" w:eastAsia="宋体" w:hAnsi="Times New Roman"/>
          <w:sz w:val="24"/>
          <w:szCs w:val="24"/>
        </w:rPr>
      </w:pPr>
      <w:bookmarkStart w:id="2" w:name="_Toc497174780"/>
      <w:bookmarkStart w:id="3" w:name="_Toc85135164"/>
      <w:r>
        <w:rPr>
          <w:rFonts w:ascii="Times New Roman" w:eastAsia="宋体" w:hAnsi="Times New Roman"/>
          <w:sz w:val="24"/>
          <w:szCs w:val="24"/>
        </w:rPr>
        <w:t>（一）项目立项背景和目的</w:t>
      </w:r>
      <w:bookmarkEnd w:id="2"/>
      <w:bookmarkEnd w:id="3"/>
    </w:p>
    <w:p w:rsidR="00D23886" w:rsidRDefault="007B2FA1">
      <w:pPr>
        <w:pStyle w:val="3"/>
        <w:ind w:leftChars="0" w:left="0" w:firstLineChars="200" w:firstLine="482"/>
        <w:rPr>
          <w:rFonts w:ascii="Times New Roman" w:eastAsia="宋体" w:hAnsi="Times New Roman" w:cs="Times New Roman"/>
          <w:sz w:val="24"/>
          <w:szCs w:val="24"/>
        </w:rPr>
      </w:pPr>
      <w:bookmarkStart w:id="4" w:name="_Toc85135165"/>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项目实施背景</w:t>
      </w:r>
      <w:bookmarkEnd w:id="4"/>
    </w:p>
    <w:p w:rsidR="00D23886" w:rsidRDefault="007B2FA1">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hint="eastAsia"/>
          <w:sz w:val="24"/>
          <w:szCs w:val="24"/>
        </w:rPr>
        <w:t>为了深化医药卫生体制改革工作，以习近平新时代中国特色社会主义思想为指导，全面贯彻党的十九大和十九届二中、三中全会精神，认真落实党中央、国务院关于实施健康中国战略和深化医药卫生体制改革的决策部署，坚持以人民健康为中心，坚持保基本、强基层、建机制，紧紧围绕把以治病为中心转变为以人民健康为中心，落实预防为主，加强疾病预防和健康促进，紧紧围绕解决看病难、看病贵问题，深化医疗、医保、医药联动改革，坚定不移推动医改落地见效、惠及人民群众。</w:t>
      </w:r>
    </w:p>
    <w:p w:rsidR="00D23886" w:rsidRDefault="007B2FA1">
      <w:pPr>
        <w:pStyle w:val="a0"/>
        <w:spacing w:after="0" w:line="360" w:lineRule="auto"/>
        <w:ind w:firstLineChars="200" w:firstLine="480"/>
        <w:rPr>
          <w:rFonts w:hAnsi="Times New Roman" w:cs="Times New Roman"/>
          <w:sz w:val="24"/>
        </w:rPr>
      </w:pPr>
      <w:r>
        <w:rPr>
          <w:rFonts w:hAnsi="Times New Roman" w:cs="Times New Roman" w:hint="eastAsia"/>
          <w:sz w:val="24"/>
        </w:rPr>
        <w:t>天津市西青区人民政府认真落实党中央、国务院关于实施健康中国战略和深化医药卫生体制改革的决策部署，推动医改落地见效、惠及人民群众，制定《西青区深化医药卫生体制改革建立优质高效医疗卫生服务体系暨区域医疗卫生服务能力提升工程实施方案》，工作方案中明确了为夯实三级服务体系网底，开展筑底项目的总体任务和实施计划，天津市西青区卫生健康委员会（以下简称“西青区卫健委”）为本项目的主责部门，自</w:t>
      </w:r>
      <w:r>
        <w:rPr>
          <w:rFonts w:hAnsi="Times New Roman" w:cs="Times New Roman" w:hint="eastAsia"/>
          <w:sz w:val="24"/>
        </w:rPr>
        <w:t>2017</w:t>
      </w:r>
      <w:r>
        <w:rPr>
          <w:rFonts w:hAnsi="Times New Roman" w:cs="Times New Roman" w:hint="eastAsia"/>
          <w:sz w:val="24"/>
        </w:rPr>
        <w:t>年</w:t>
      </w:r>
      <w:r>
        <w:rPr>
          <w:rFonts w:hAnsi="Times New Roman" w:cs="Times New Roman" w:hint="eastAsia"/>
          <w:sz w:val="24"/>
        </w:rPr>
        <w:t>10</w:t>
      </w:r>
      <w:r>
        <w:rPr>
          <w:rFonts w:hAnsi="Times New Roman" w:cs="Times New Roman" w:hint="eastAsia"/>
          <w:sz w:val="24"/>
        </w:rPr>
        <w:t>月实施计划至今，按照工作计划的要求，不断研究、部署、推进，确保此项工作的落实。</w:t>
      </w:r>
    </w:p>
    <w:p w:rsidR="00D23886" w:rsidRDefault="007B2FA1">
      <w:pPr>
        <w:pStyle w:val="a0"/>
        <w:ind w:firstLineChars="200" w:firstLine="482"/>
        <w:rPr>
          <w:rFonts w:hAnsi="Times New Roman" w:cs="Times New Roman"/>
          <w:b/>
          <w:bCs/>
          <w:sz w:val="24"/>
        </w:rPr>
      </w:pPr>
      <w:r>
        <w:rPr>
          <w:rFonts w:hAnsi="Times New Roman" w:cs="Times New Roman" w:hint="eastAsia"/>
          <w:b/>
          <w:bCs/>
          <w:sz w:val="24"/>
        </w:rPr>
        <w:t>2</w:t>
      </w:r>
      <w:r>
        <w:rPr>
          <w:rFonts w:hAnsi="Times New Roman" w:cs="Times New Roman" w:hint="eastAsia"/>
          <w:b/>
          <w:bCs/>
          <w:sz w:val="24"/>
        </w:rPr>
        <w:t>、立项目的</w:t>
      </w:r>
    </w:p>
    <w:p w:rsidR="00D23886" w:rsidRDefault="007B2FA1">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hint="eastAsia"/>
          <w:sz w:val="24"/>
          <w:szCs w:val="24"/>
        </w:rPr>
        <w:t>该项目是为了贯彻落实《西青区医疗卫生服务体系建设规划实施方案》（</w:t>
      </w:r>
      <w:r>
        <w:rPr>
          <w:rFonts w:ascii="Times New Roman" w:eastAsia="宋体" w:hAnsi="Times New Roman" w:cs="Times New Roman" w:hint="eastAsia"/>
          <w:sz w:val="24"/>
          <w:szCs w:val="24"/>
        </w:rPr>
        <w:t>2016-2020</w:t>
      </w:r>
      <w:r>
        <w:rPr>
          <w:rFonts w:ascii="Times New Roman" w:eastAsia="宋体" w:hAnsi="Times New Roman" w:cs="Times New Roman" w:hint="eastAsia"/>
          <w:sz w:val="24"/>
          <w:szCs w:val="24"/>
        </w:rPr>
        <w:t>年）》要求，进一步完善区级、街镇、社区三级医疗卫生服务体系，提高医疗卫生服务水平，推进分级诊疗制度建立和公立医院综合改革，实现群众</w:t>
      </w:r>
      <w:r>
        <w:rPr>
          <w:rFonts w:ascii="Times New Roman" w:eastAsia="宋体" w:hAnsi="Times New Roman" w:cs="Times New Roman" w:hint="eastAsia"/>
          <w:sz w:val="24"/>
          <w:szCs w:val="24"/>
        </w:rPr>
        <w:lastRenderedPageBreak/>
        <w:t>健康全程服务。同时为了加大对医疗机构开展公共卫生服务的支持力度，建立医疗机构公共卫生服务经费保障机制，评估基本公共卫生服务项目实施情况，推动提高资金使用效益。</w:t>
      </w:r>
    </w:p>
    <w:p w:rsidR="00D23886" w:rsidRDefault="007B2FA1">
      <w:pPr>
        <w:pStyle w:val="2"/>
        <w:snapToGrid w:val="0"/>
        <w:ind w:left="420"/>
        <w:rPr>
          <w:rFonts w:ascii="Times New Roman" w:eastAsia="宋体" w:hAnsi="Times New Roman"/>
          <w:sz w:val="24"/>
          <w:szCs w:val="24"/>
        </w:rPr>
      </w:pPr>
      <w:bookmarkStart w:id="5" w:name="_Toc85135167"/>
      <w:bookmarkStart w:id="6" w:name="_Toc497174781"/>
      <w:r>
        <w:rPr>
          <w:rFonts w:ascii="Times New Roman" w:eastAsia="宋体" w:hAnsi="Times New Roman" w:hint="eastAsia"/>
          <w:sz w:val="24"/>
          <w:szCs w:val="24"/>
        </w:rPr>
        <w:t>（二）项目预算和实际执行情况</w:t>
      </w:r>
      <w:bookmarkEnd w:id="5"/>
      <w:bookmarkEnd w:id="6"/>
    </w:p>
    <w:p w:rsidR="00D23886" w:rsidRDefault="007B2FA1">
      <w:pPr>
        <w:pStyle w:val="3"/>
        <w:ind w:left="630"/>
        <w:rPr>
          <w:rFonts w:ascii="Times New Roman" w:eastAsia="宋体" w:hAnsi="Times New Roman" w:cs="Times New Roman"/>
          <w:sz w:val="24"/>
          <w:szCs w:val="24"/>
        </w:rPr>
      </w:pPr>
      <w:bookmarkStart w:id="7" w:name="_Toc85135168"/>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项目预算以及资金来源</w:t>
      </w:r>
      <w:bookmarkEnd w:id="7"/>
    </w:p>
    <w:p w:rsidR="00D23886" w:rsidRDefault="007B2FA1">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）项目预算以及资金来源</w:t>
      </w:r>
    </w:p>
    <w:p w:rsidR="00D23886" w:rsidRDefault="007B2FA1">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年筑底项目</w:t>
      </w:r>
      <w:r>
        <w:rPr>
          <w:rFonts w:ascii="Times New Roman" w:eastAsia="宋体" w:hAnsi="Times New Roman" w:cs="Times New Roman"/>
          <w:sz w:val="24"/>
          <w:szCs w:val="24"/>
        </w:rPr>
        <w:t>预算金额为</w:t>
      </w:r>
      <w:r>
        <w:rPr>
          <w:rFonts w:ascii="Times New Roman" w:eastAsia="宋体" w:hAnsi="Times New Roman" w:cs="Times New Roman" w:hint="eastAsia"/>
          <w:sz w:val="24"/>
          <w:szCs w:val="24"/>
        </w:rPr>
        <w:t>2,451.65</w:t>
      </w:r>
      <w:r>
        <w:rPr>
          <w:rFonts w:ascii="Times New Roman" w:eastAsia="宋体" w:hAnsi="Times New Roman" w:cs="Times New Roman"/>
          <w:sz w:val="24"/>
          <w:szCs w:val="24"/>
        </w:rPr>
        <w:t>万元，资金来源为</w:t>
      </w:r>
      <w:r>
        <w:rPr>
          <w:rFonts w:ascii="Times New Roman" w:eastAsia="宋体" w:hAnsi="Times New Roman" w:cs="Times New Roman" w:hint="eastAsia"/>
          <w:sz w:val="24"/>
          <w:szCs w:val="24"/>
        </w:rPr>
        <w:t>天津市西青区财政局拨款</w:t>
      </w:r>
      <w:r>
        <w:rPr>
          <w:rFonts w:ascii="Times New Roman" w:eastAsia="宋体" w:hAnsi="Times New Roman" w:cs="Times New Roman"/>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年度实际支出筑底项目费用为</w:t>
      </w:r>
      <w:r>
        <w:rPr>
          <w:rFonts w:ascii="Times New Roman" w:eastAsia="宋体" w:hAnsi="Times New Roman" w:cs="Times New Roman" w:hint="eastAsia"/>
          <w:sz w:val="24"/>
          <w:szCs w:val="24"/>
        </w:rPr>
        <w:t>1,896.00</w:t>
      </w:r>
      <w:r>
        <w:rPr>
          <w:rFonts w:ascii="Times New Roman" w:eastAsia="宋体" w:hAnsi="Times New Roman" w:cs="Times New Roman" w:hint="eastAsia"/>
          <w:sz w:val="24"/>
          <w:szCs w:val="24"/>
        </w:rPr>
        <w:t>万元。具体预算及支出</w:t>
      </w:r>
      <w:r>
        <w:rPr>
          <w:rFonts w:ascii="Times New Roman" w:eastAsia="宋体" w:hAnsi="Times New Roman" w:cs="Times New Roman"/>
          <w:sz w:val="24"/>
          <w:szCs w:val="24"/>
        </w:rPr>
        <w:t>明细如下表</w:t>
      </w:r>
      <w:r>
        <w:rPr>
          <w:rFonts w:ascii="Times New Roman" w:eastAsia="宋体" w:hAnsi="Times New Roman" w:cs="Times New Roman"/>
          <w:sz w:val="24"/>
          <w:szCs w:val="24"/>
        </w:rPr>
        <w:t>1</w:t>
      </w:r>
      <w:r>
        <w:rPr>
          <w:rFonts w:ascii="Times New Roman" w:eastAsia="宋体" w:hAnsi="Times New Roman" w:cs="Times New Roman"/>
          <w:sz w:val="24"/>
          <w:szCs w:val="24"/>
        </w:rPr>
        <w:t>所示：</w:t>
      </w:r>
    </w:p>
    <w:p w:rsidR="00D23886" w:rsidRDefault="00D23886">
      <w:pPr>
        <w:snapToGrid w:val="0"/>
        <w:spacing w:line="360" w:lineRule="auto"/>
        <w:ind w:firstLineChars="202" w:firstLine="485"/>
        <w:rPr>
          <w:rFonts w:ascii="Times New Roman" w:eastAsia="宋体" w:hAnsi="Times New Roman" w:cs="Times New Roman"/>
          <w:sz w:val="24"/>
          <w:szCs w:val="24"/>
        </w:rPr>
      </w:pPr>
    </w:p>
    <w:p w:rsidR="00D23886" w:rsidRDefault="007B2FA1">
      <w:pPr>
        <w:snapToGrid w:val="0"/>
        <w:spacing w:line="360" w:lineRule="auto"/>
        <w:ind w:firstLineChars="401" w:firstLine="966"/>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1</w:t>
      </w:r>
      <w:r>
        <w:rPr>
          <w:rFonts w:ascii="Times New Roman" w:eastAsia="宋体" w:hAnsi="Times New Roman" w:cs="Times New Roman" w:hint="eastAsia"/>
          <w:b/>
          <w:bCs/>
          <w:sz w:val="24"/>
          <w:szCs w:val="24"/>
        </w:rPr>
        <w:t xml:space="preserve">  </w:t>
      </w:r>
      <w:r>
        <w:rPr>
          <w:rFonts w:ascii="Times New Roman" w:eastAsia="宋体" w:hAnsi="Times New Roman" w:cs="Times New Roman" w:hint="eastAsia"/>
          <w:b/>
          <w:bCs/>
          <w:sz w:val="24"/>
          <w:szCs w:val="24"/>
        </w:rPr>
        <w:t>西青区</w:t>
      </w:r>
      <w:r>
        <w:rPr>
          <w:rFonts w:ascii="Times New Roman" w:eastAsia="宋体" w:hAnsi="Times New Roman" w:cs="Times New Roman" w:hint="eastAsia"/>
          <w:b/>
          <w:bCs/>
          <w:sz w:val="24"/>
          <w:szCs w:val="24"/>
        </w:rPr>
        <w:t>2021</w:t>
      </w:r>
      <w:r>
        <w:rPr>
          <w:rFonts w:ascii="Times New Roman" w:eastAsia="宋体" w:hAnsi="Times New Roman" w:cs="Times New Roman" w:hint="eastAsia"/>
          <w:b/>
          <w:bCs/>
          <w:sz w:val="24"/>
          <w:szCs w:val="24"/>
        </w:rPr>
        <w:t>年区域医疗卫生服务体系筑底项目总预算金额</w:t>
      </w:r>
    </w:p>
    <w:tbl>
      <w:tblPr>
        <w:tblW w:w="8403" w:type="dxa"/>
        <w:tblLook w:val="04A0"/>
      </w:tblPr>
      <w:tblGrid>
        <w:gridCol w:w="948"/>
        <w:gridCol w:w="2112"/>
        <w:gridCol w:w="2178"/>
        <w:gridCol w:w="3165"/>
      </w:tblGrid>
      <w:tr w:rsidR="00D23886">
        <w:trPr>
          <w:trHeight w:val="300"/>
        </w:trPr>
        <w:tc>
          <w:tcPr>
            <w:tcW w:w="948"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tcPr>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2112"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tcPr>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项目名称</w:t>
            </w:r>
          </w:p>
        </w:tc>
        <w:tc>
          <w:tcPr>
            <w:tcW w:w="2178" w:type="dxa"/>
            <w:tcBorders>
              <w:top w:val="single" w:sz="8" w:space="0" w:color="auto"/>
              <w:left w:val="nil"/>
              <w:bottom w:val="single" w:sz="8" w:space="0" w:color="auto"/>
              <w:right w:val="single" w:sz="8" w:space="0" w:color="000000"/>
            </w:tcBorders>
            <w:shd w:val="clear" w:color="000000" w:fill="B4C6E7"/>
            <w:vAlign w:val="center"/>
          </w:tcPr>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投资估算</w:t>
            </w:r>
          </w:p>
        </w:tc>
        <w:tc>
          <w:tcPr>
            <w:tcW w:w="3165" w:type="dxa"/>
            <w:tcBorders>
              <w:top w:val="single" w:sz="8" w:space="0" w:color="auto"/>
              <w:left w:val="nil"/>
              <w:bottom w:val="single" w:sz="8" w:space="0" w:color="auto"/>
              <w:right w:val="single" w:sz="8" w:space="0" w:color="000000"/>
            </w:tcBorders>
            <w:shd w:val="clear" w:color="000000" w:fill="B4C6E7"/>
            <w:vAlign w:val="center"/>
          </w:tcPr>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项目支出</w:t>
            </w:r>
          </w:p>
        </w:tc>
      </w:tr>
      <w:tr w:rsidR="00D23886">
        <w:trPr>
          <w:trHeight w:val="778"/>
        </w:trPr>
        <w:tc>
          <w:tcPr>
            <w:tcW w:w="948" w:type="dxa"/>
            <w:vMerge/>
            <w:tcBorders>
              <w:top w:val="single" w:sz="8" w:space="0" w:color="auto"/>
              <w:left w:val="single" w:sz="8" w:space="0" w:color="auto"/>
              <w:bottom w:val="single" w:sz="8" w:space="0" w:color="000000"/>
              <w:right w:val="single" w:sz="8" w:space="0" w:color="auto"/>
            </w:tcBorders>
            <w:vAlign w:val="center"/>
          </w:tcPr>
          <w:p w:rsidR="00D23886" w:rsidRDefault="00D23886">
            <w:pPr>
              <w:widowControl/>
              <w:jc w:val="left"/>
              <w:rPr>
                <w:rFonts w:ascii="宋体" w:eastAsia="宋体" w:hAnsi="宋体" w:cs="宋体"/>
                <w:b/>
                <w:bCs/>
                <w:color w:val="000000"/>
                <w:kern w:val="0"/>
                <w:szCs w:val="21"/>
              </w:rPr>
            </w:pPr>
          </w:p>
        </w:tc>
        <w:tc>
          <w:tcPr>
            <w:tcW w:w="2112" w:type="dxa"/>
            <w:vMerge/>
            <w:tcBorders>
              <w:top w:val="single" w:sz="8" w:space="0" w:color="auto"/>
              <w:left w:val="single" w:sz="8" w:space="0" w:color="auto"/>
              <w:bottom w:val="single" w:sz="8" w:space="0" w:color="000000"/>
              <w:right w:val="single" w:sz="8" w:space="0" w:color="auto"/>
            </w:tcBorders>
            <w:vAlign w:val="center"/>
          </w:tcPr>
          <w:p w:rsidR="00D23886" w:rsidRDefault="00D23886">
            <w:pPr>
              <w:widowControl/>
              <w:jc w:val="left"/>
              <w:rPr>
                <w:rFonts w:ascii="宋体" w:eastAsia="宋体" w:hAnsi="宋体" w:cs="宋体"/>
                <w:b/>
                <w:bCs/>
                <w:color w:val="000000"/>
                <w:kern w:val="0"/>
                <w:szCs w:val="21"/>
              </w:rPr>
            </w:pPr>
          </w:p>
        </w:tc>
        <w:tc>
          <w:tcPr>
            <w:tcW w:w="2178" w:type="dxa"/>
            <w:tcBorders>
              <w:top w:val="nil"/>
              <w:left w:val="nil"/>
              <w:bottom w:val="single" w:sz="8" w:space="0" w:color="auto"/>
              <w:right w:val="single" w:sz="8" w:space="0" w:color="auto"/>
            </w:tcBorders>
            <w:shd w:val="clear" w:color="000000" w:fill="B4C6E7"/>
            <w:vAlign w:val="center"/>
          </w:tcPr>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金额</w:t>
            </w:r>
          </w:p>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（万元）</w:t>
            </w:r>
          </w:p>
          <w:p w:rsidR="00D23886" w:rsidRDefault="00D23886">
            <w:pPr>
              <w:widowControl/>
              <w:jc w:val="center"/>
              <w:rPr>
                <w:rFonts w:ascii="宋体" w:eastAsia="宋体" w:hAnsi="宋体" w:cs="宋体"/>
                <w:b/>
                <w:bCs/>
                <w:color w:val="000000"/>
                <w:kern w:val="0"/>
                <w:szCs w:val="21"/>
              </w:rPr>
            </w:pPr>
          </w:p>
        </w:tc>
        <w:tc>
          <w:tcPr>
            <w:tcW w:w="3165" w:type="dxa"/>
            <w:tcBorders>
              <w:top w:val="nil"/>
              <w:left w:val="nil"/>
              <w:bottom w:val="single" w:sz="8" w:space="0" w:color="auto"/>
              <w:right w:val="single" w:sz="8" w:space="0" w:color="auto"/>
            </w:tcBorders>
            <w:shd w:val="clear" w:color="000000" w:fill="B4C6E7"/>
            <w:vAlign w:val="center"/>
          </w:tcPr>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金额</w:t>
            </w:r>
          </w:p>
          <w:p w:rsidR="00D23886" w:rsidRDefault="007B2FA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（万元）</w:t>
            </w:r>
          </w:p>
          <w:p w:rsidR="00D23886" w:rsidRDefault="00D23886">
            <w:pPr>
              <w:widowControl/>
              <w:jc w:val="center"/>
              <w:rPr>
                <w:rFonts w:ascii="宋体" w:eastAsia="宋体" w:hAnsi="宋体" w:cs="宋体"/>
                <w:b/>
                <w:bCs/>
                <w:color w:val="000000"/>
                <w:kern w:val="0"/>
                <w:szCs w:val="21"/>
              </w:rPr>
            </w:pPr>
          </w:p>
        </w:tc>
      </w:tr>
      <w:tr w:rsidR="00D23886">
        <w:trPr>
          <w:trHeight w:val="702"/>
        </w:trPr>
        <w:tc>
          <w:tcPr>
            <w:tcW w:w="948" w:type="dxa"/>
            <w:tcBorders>
              <w:top w:val="nil"/>
              <w:left w:val="single" w:sz="8" w:space="0" w:color="auto"/>
              <w:bottom w:val="single" w:sz="8" w:space="0" w:color="auto"/>
              <w:right w:val="single" w:sz="8" w:space="0" w:color="auto"/>
            </w:tcBorders>
            <w:shd w:val="clear" w:color="auto" w:fill="auto"/>
            <w:vAlign w:val="center"/>
          </w:tcPr>
          <w:p w:rsidR="00D23886" w:rsidRDefault="007B2FA1">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p>
        </w:tc>
        <w:tc>
          <w:tcPr>
            <w:tcW w:w="2112" w:type="dxa"/>
            <w:tcBorders>
              <w:top w:val="nil"/>
              <w:left w:val="nil"/>
              <w:bottom w:val="single" w:sz="8" w:space="0" w:color="auto"/>
              <w:right w:val="single" w:sz="8" w:space="0" w:color="auto"/>
            </w:tcBorders>
            <w:shd w:val="clear" w:color="auto" w:fill="auto"/>
            <w:vAlign w:val="center"/>
          </w:tcPr>
          <w:p w:rsidR="00D23886" w:rsidRDefault="007B2FA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站点人员工资</w:t>
            </w:r>
          </w:p>
        </w:tc>
        <w:tc>
          <w:tcPr>
            <w:tcW w:w="2178" w:type="dxa"/>
            <w:tcBorders>
              <w:top w:val="nil"/>
              <w:left w:val="nil"/>
              <w:bottom w:val="single" w:sz="8" w:space="0" w:color="auto"/>
              <w:right w:val="single" w:sz="8" w:space="0" w:color="auto"/>
            </w:tcBorders>
            <w:shd w:val="clear" w:color="auto" w:fill="auto"/>
            <w:vAlign w:val="center"/>
          </w:tcPr>
          <w:p w:rsidR="00D23886" w:rsidRDefault="007B2FA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2,098.20</w:t>
            </w:r>
          </w:p>
        </w:tc>
        <w:tc>
          <w:tcPr>
            <w:tcW w:w="3165" w:type="dxa"/>
            <w:tcBorders>
              <w:top w:val="nil"/>
              <w:left w:val="nil"/>
              <w:bottom w:val="single" w:sz="8" w:space="0" w:color="auto"/>
              <w:right w:val="single" w:sz="8" w:space="0" w:color="auto"/>
            </w:tcBorders>
            <w:shd w:val="clear" w:color="auto" w:fill="auto"/>
            <w:vAlign w:val="center"/>
          </w:tcPr>
          <w:p w:rsidR="00D23886" w:rsidRDefault="007B2FA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1,654.23</w:t>
            </w:r>
          </w:p>
        </w:tc>
      </w:tr>
      <w:tr w:rsidR="00D23886">
        <w:trPr>
          <w:trHeight w:val="530"/>
        </w:trPr>
        <w:tc>
          <w:tcPr>
            <w:tcW w:w="948" w:type="dxa"/>
            <w:tcBorders>
              <w:top w:val="nil"/>
              <w:left w:val="single" w:sz="8" w:space="0" w:color="auto"/>
              <w:bottom w:val="single" w:sz="8" w:space="0" w:color="auto"/>
              <w:right w:val="single" w:sz="8" w:space="0" w:color="auto"/>
            </w:tcBorders>
            <w:shd w:val="clear" w:color="auto" w:fill="auto"/>
            <w:vAlign w:val="center"/>
          </w:tcPr>
          <w:p w:rsidR="00D23886" w:rsidRDefault="007B2FA1">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w:t>
            </w:r>
          </w:p>
        </w:tc>
        <w:tc>
          <w:tcPr>
            <w:tcW w:w="2112" w:type="dxa"/>
            <w:tcBorders>
              <w:top w:val="nil"/>
              <w:left w:val="nil"/>
              <w:bottom w:val="single" w:sz="8" w:space="0" w:color="auto"/>
              <w:right w:val="single" w:sz="8" w:space="0" w:color="auto"/>
            </w:tcBorders>
            <w:shd w:val="clear" w:color="auto" w:fill="auto"/>
            <w:vAlign w:val="center"/>
          </w:tcPr>
          <w:p w:rsidR="00D23886" w:rsidRDefault="007B2FA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乡医补助</w:t>
            </w:r>
          </w:p>
        </w:tc>
        <w:tc>
          <w:tcPr>
            <w:tcW w:w="2178" w:type="dxa"/>
            <w:tcBorders>
              <w:top w:val="nil"/>
              <w:left w:val="nil"/>
              <w:bottom w:val="single" w:sz="8" w:space="0" w:color="auto"/>
              <w:right w:val="single" w:sz="8" w:space="0" w:color="auto"/>
            </w:tcBorders>
            <w:shd w:val="clear" w:color="auto" w:fill="auto"/>
            <w:vAlign w:val="center"/>
          </w:tcPr>
          <w:p w:rsidR="00D23886" w:rsidRDefault="007B2FA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137.45</w:t>
            </w:r>
          </w:p>
        </w:tc>
        <w:tc>
          <w:tcPr>
            <w:tcW w:w="3165" w:type="dxa"/>
            <w:tcBorders>
              <w:top w:val="nil"/>
              <w:left w:val="nil"/>
              <w:bottom w:val="single" w:sz="8" w:space="0" w:color="auto"/>
              <w:right w:val="single" w:sz="8" w:space="0" w:color="auto"/>
            </w:tcBorders>
            <w:shd w:val="clear" w:color="auto" w:fill="auto"/>
            <w:vAlign w:val="center"/>
          </w:tcPr>
          <w:p w:rsidR="00D23886" w:rsidRDefault="007B2FA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54.18</w:t>
            </w:r>
          </w:p>
        </w:tc>
      </w:tr>
      <w:tr w:rsidR="00D23886">
        <w:trPr>
          <w:trHeight w:val="552"/>
        </w:trPr>
        <w:tc>
          <w:tcPr>
            <w:tcW w:w="948" w:type="dxa"/>
            <w:tcBorders>
              <w:top w:val="nil"/>
              <w:left w:val="single" w:sz="8" w:space="0" w:color="auto"/>
              <w:bottom w:val="single" w:sz="8" w:space="0" w:color="auto"/>
              <w:right w:val="single" w:sz="8" w:space="0" w:color="auto"/>
            </w:tcBorders>
            <w:shd w:val="clear" w:color="auto" w:fill="auto"/>
            <w:vAlign w:val="center"/>
          </w:tcPr>
          <w:p w:rsidR="00D23886" w:rsidRDefault="007B2FA1">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p>
        </w:tc>
        <w:tc>
          <w:tcPr>
            <w:tcW w:w="2112" w:type="dxa"/>
            <w:tcBorders>
              <w:top w:val="nil"/>
              <w:left w:val="nil"/>
              <w:bottom w:val="single" w:sz="8" w:space="0" w:color="auto"/>
              <w:right w:val="single" w:sz="8" w:space="0" w:color="auto"/>
            </w:tcBorders>
            <w:shd w:val="clear" w:color="auto" w:fill="auto"/>
            <w:vAlign w:val="center"/>
          </w:tcPr>
          <w:p w:rsidR="00D23886" w:rsidRDefault="007B2FA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运行费用</w:t>
            </w:r>
          </w:p>
        </w:tc>
        <w:tc>
          <w:tcPr>
            <w:tcW w:w="2178" w:type="dxa"/>
            <w:tcBorders>
              <w:top w:val="nil"/>
              <w:left w:val="nil"/>
              <w:bottom w:val="single" w:sz="8" w:space="0" w:color="auto"/>
              <w:right w:val="single" w:sz="8" w:space="0" w:color="auto"/>
            </w:tcBorders>
            <w:shd w:val="clear" w:color="auto" w:fill="auto"/>
            <w:vAlign w:val="center"/>
          </w:tcPr>
          <w:p w:rsidR="00D23886" w:rsidRDefault="007B2FA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216.00</w:t>
            </w:r>
          </w:p>
        </w:tc>
        <w:tc>
          <w:tcPr>
            <w:tcW w:w="3165" w:type="dxa"/>
            <w:tcBorders>
              <w:top w:val="nil"/>
              <w:left w:val="nil"/>
              <w:bottom w:val="single" w:sz="8" w:space="0" w:color="auto"/>
              <w:right w:val="single" w:sz="8" w:space="0" w:color="auto"/>
            </w:tcBorders>
            <w:shd w:val="clear" w:color="auto" w:fill="auto"/>
            <w:vAlign w:val="center"/>
          </w:tcPr>
          <w:p w:rsidR="00D23886" w:rsidRDefault="007B2FA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187.59</w:t>
            </w:r>
          </w:p>
        </w:tc>
      </w:tr>
      <w:tr w:rsidR="00D23886">
        <w:trPr>
          <w:trHeight w:val="300"/>
        </w:trPr>
        <w:tc>
          <w:tcPr>
            <w:tcW w:w="3060"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D23886" w:rsidRDefault="007B2FA1">
            <w:pPr>
              <w:widowControl/>
              <w:spacing w:line="360" w:lineRule="auto"/>
              <w:jc w:val="center"/>
              <w:rPr>
                <w:rFonts w:ascii="宋体" w:eastAsia="宋体" w:hAnsi="宋体" w:cs="宋体"/>
                <w:color w:val="000000"/>
                <w:kern w:val="0"/>
                <w:szCs w:val="21"/>
              </w:rPr>
            </w:pPr>
            <w:r>
              <w:rPr>
                <w:rFonts w:ascii="宋体" w:eastAsia="宋体" w:hAnsi="宋体" w:cs="宋体" w:hint="eastAsia"/>
                <w:color w:val="000000"/>
                <w:kern w:val="0"/>
                <w:szCs w:val="21"/>
              </w:rPr>
              <w:t>合</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计</w:t>
            </w:r>
          </w:p>
        </w:tc>
        <w:tc>
          <w:tcPr>
            <w:tcW w:w="2178" w:type="dxa"/>
            <w:tcBorders>
              <w:top w:val="nil"/>
              <w:left w:val="nil"/>
              <w:bottom w:val="single" w:sz="8" w:space="0" w:color="auto"/>
              <w:right w:val="single" w:sz="8" w:space="0" w:color="auto"/>
            </w:tcBorders>
            <w:shd w:val="clear" w:color="auto" w:fill="auto"/>
            <w:vAlign w:val="center"/>
          </w:tcPr>
          <w:p w:rsidR="00D23886" w:rsidRDefault="007B2FA1">
            <w:pPr>
              <w:widowControl/>
              <w:spacing w:line="360" w:lineRule="auto"/>
              <w:jc w:val="center"/>
              <w:rPr>
                <w:rFonts w:ascii="Times New Roman" w:eastAsia="宋体" w:hAnsi="Times New Roman" w:cs="Times New Roman"/>
                <w:color w:val="000000"/>
                <w:kern w:val="0"/>
                <w:szCs w:val="21"/>
              </w:rPr>
            </w:pPr>
            <w:r>
              <w:rPr>
                <w:rFonts w:ascii="宋体" w:eastAsia="宋体" w:hAnsi="宋体" w:cs="宋体" w:hint="eastAsia"/>
                <w:color w:val="000000"/>
                <w:kern w:val="0"/>
                <w:szCs w:val="21"/>
              </w:rPr>
              <w:t>2,451.65</w:t>
            </w:r>
          </w:p>
        </w:tc>
        <w:tc>
          <w:tcPr>
            <w:tcW w:w="3165" w:type="dxa"/>
            <w:tcBorders>
              <w:top w:val="nil"/>
              <w:left w:val="nil"/>
              <w:bottom w:val="single" w:sz="8" w:space="0" w:color="auto"/>
              <w:right w:val="single" w:sz="8" w:space="0" w:color="auto"/>
            </w:tcBorders>
            <w:shd w:val="clear" w:color="auto" w:fill="auto"/>
            <w:vAlign w:val="center"/>
          </w:tcPr>
          <w:p w:rsidR="00D23886" w:rsidRDefault="007B2FA1">
            <w:pPr>
              <w:widowControl/>
              <w:spacing w:line="360" w:lineRule="auto"/>
              <w:jc w:val="center"/>
              <w:rPr>
                <w:rFonts w:ascii="宋体" w:eastAsia="宋体" w:hAnsi="宋体" w:cs="宋体"/>
                <w:color w:val="000000"/>
                <w:kern w:val="0"/>
                <w:szCs w:val="21"/>
              </w:rPr>
            </w:pPr>
            <w:r>
              <w:rPr>
                <w:rFonts w:ascii="宋体" w:eastAsia="宋体" w:hAnsi="宋体" w:cs="宋体" w:hint="eastAsia"/>
                <w:color w:val="000000"/>
                <w:kern w:val="0"/>
                <w:szCs w:val="21"/>
              </w:rPr>
              <w:t>1,896.00</w:t>
            </w:r>
          </w:p>
        </w:tc>
      </w:tr>
    </w:tbl>
    <w:p w:rsidR="00D23886" w:rsidRDefault="007B2FA1">
      <w:pPr>
        <w:pStyle w:val="3"/>
        <w:ind w:leftChars="0" w:left="0" w:firstLineChars="266" w:firstLine="641"/>
        <w:rPr>
          <w:rFonts w:ascii="Times New Roman" w:eastAsia="宋体" w:hAnsi="Times New Roman" w:cs="Times New Roman"/>
          <w:sz w:val="24"/>
          <w:szCs w:val="24"/>
        </w:rPr>
      </w:pPr>
      <w:bookmarkStart w:id="8" w:name="_Toc85135169"/>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资金</w:t>
      </w:r>
      <w:bookmarkEnd w:id="8"/>
      <w:r>
        <w:rPr>
          <w:rFonts w:ascii="Times New Roman" w:eastAsia="宋体" w:hAnsi="Times New Roman" w:cs="Times New Roman" w:hint="eastAsia"/>
          <w:sz w:val="24"/>
          <w:szCs w:val="24"/>
        </w:rPr>
        <w:t>下达</w:t>
      </w:r>
    </w:p>
    <w:p w:rsidR="00D23886" w:rsidRDefault="007B2FA1">
      <w:pPr>
        <w:snapToGrid w:val="0"/>
        <w:spacing w:line="360" w:lineRule="auto"/>
        <w:ind w:firstLineChars="202" w:firstLine="485"/>
        <w:rPr>
          <w:rFonts w:ascii="Times New Roman" w:eastAsia="仿宋_GB2312" w:hAnsi="Times New Roman" w:cs="Times New Roman"/>
          <w:sz w:val="28"/>
          <w:szCs w:val="28"/>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25</w:t>
      </w:r>
      <w:r>
        <w:rPr>
          <w:rFonts w:ascii="Times New Roman" w:eastAsia="宋体" w:hAnsi="Times New Roman" w:cs="Times New Roman" w:hint="eastAsia"/>
          <w:sz w:val="24"/>
          <w:szCs w:val="24"/>
        </w:rPr>
        <w:t>日，天津市西青区财政局向西青区卫健委下达了关于</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年部门预算的批复（西青财指【</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号），下达</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年筑底项目经费</w:t>
      </w:r>
      <w:r>
        <w:rPr>
          <w:rFonts w:ascii="Times New Roman" w:eastAsia="宋体" w:hAnsi="Times New Roman" w:cs="Times New Roman" w:hint="eastAsia"/>
          <w:sz w:val="24"/>
          <w:szCs w:val="24"/>
        </w:rPr>
        <w:t>800</w:t>
      </w:r>
      <w:r>
        <w:rPr>
          <w:rFonts w:ascii="Times New Roman" w:eastAsia="宋体" w:hAnsi="Times New Roman" w:cs="Times New Roman" w:hint="eastAsia"/>
          <w:sz w:val="24"/>
          <w:szCs w:val="24"/>
        </w:rPr>
        <w:t>万元；</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29</w:t>
      </w:r>
      <w:r>
        <w:rPr>
          <w:rFonts w:ascii="Times New Roman" w:eastAsia="宋体" w:hAnsi="Times New Roman" w:cs="Times New Roman" w:hint="eastAsia"/>
          <w:sz w:val="24"/>
          <w:szCs w:val="24"/>
        </w:rPr>
        <w:t>日，下达了关于下达区域卫生筑底项目资金的指标告知单（西青财指【</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269</w:t>
      </w:r>
      <w:r>
        <w:rPr>
          <w:rFonts w:ascii="Times New Roman" w:eastAsia="宋体" w:hAnsi="Times New Roman" w:cs="Times New Roman" w:hint="eastAsia"/>
          <w:sz w:val="24"/>
          <w:szCs w:val="24"/>
        </w:rPr>
        <w:t>号），下达经费</w:t>
      </w:r>
      <w:r>
        <w:rPr>
          <w:rFonts w:ascii="Times New Roman" w:eastAsia="宋体" w:hAnsi="Times New Roman" w:cs="Times New Roman" w:hint="eastAsia"/>
          <w:sz w:val="24"/>
          <w:szCs w:val="24"/>
        </w:rPr>
        <w:t>1,651.65</w:t>
      </w:r>
      <w:r>
        <w:rPr>
          <w:rFonts w:ascii="Times New Roman" w:eastAsia="宋体" w:hAnsi="Times New Roman" w:cs="Times New Roman" w:hint="eastAsia"/>
          <w:sz w:val="24"/>
          <w:szCs w:val="24"/>
        </w:rPr>
        <w:t>万元。</w:t>
      </w:r>
    </w:p>
    <w:p w:rsidR="00D23886" w:rsidRDefault="007B2FA1">
      <w:pPr>
        <w:pStyle w:val="2"/>
        <w:snapToGrid w:val="0"/>
        <w:ind w:left="420"/>
        <w:rPr>
          <w:rFonts w:ascii="Times New Roman" w:eastAsia="宋体" w:hAnsi="Times New Roman"/>
          <w:sz w:val="24"/>
          <w:szCs w:val="24"/>
        </w:rPr>
      </w:pPr>
      <w:bookmarkStart w:id="9" w:name="_Toc85135170"/>
      <w:bookmarkStart w:id="10" w:name="_Toc497174782"/>
      <w:r>
        <w:rPr>
          <w:rFonts w:ascii="Times New Roman" w:eastAsia="宋体" w:hAnsi="Times New Roman"/>
          <w:sz w:val="24"/>
          <w:szCs w:val="24"/>
        </w:rPr>
        <w:t>（三）项目实施内容、范围</w:t>
      </w:r>
      <w:bookmarkEnd w:id="9"/>
      <w:bookmarkEnd w:id="10"/>
    </w:p>
    <w:p w:rsidR="00D23886" w:rsidRDefault="007B2FA1">
      <w:pPr>
        <w:snapToGrid w:val="0"/>
        <w:spacing w:line="360" w:lineRule="auto"/>
        <w:ind w:firstLineChars="253" w:firstLine="607"/>
        <w:rPr>
          <w:rFonts w:ascii="Times New Roman" w:eastAsia="宋体" w:hAnsi="Times New Roman" w:cs="Times New Roman"/>
          <w:sz w:val="24"/>
          <w:szCs w:val="24"/>
        </w:rPr>
      </w:pPr>
      <w:bookmarkStart w:id="11" w:name="_Toc497174783"/>
      <w:bookmarkStart w:id="12" w:name="_Toc85135171"/>
      <w:r>
        <w:rPr>
          <w:rFonts w:ascii="Times New Roman" w:eastAsia="宋体" w:hAnsi="Times New Roman" w:cs="Times New Roman" w:hint="eastAsia"/>
          <w:sz w:val="24"/>
          <w:szCs w:val="24"/>
        </w:rPr>
        <w:t>筑底项目包括</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年度西青区开设的社区卫生服务站（含村卫生室）的人员管理、乡医补助管理及运行费用管理。</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根据《西青区深化医药卫生体制改革建立优质高效医疗卫生服务体系暨区域医疗卫生服务能力提升工程实施方案》中关于筑底项目的规划，全区规划站点数量</w:t>
      </w:r>
      <w:r>
        <w:rPr>
          <w:rFonts w:ascii="Times New Roman" w:eastAsia="宋体" w:hAnsi="Times New Roman" w:cs="Times New Roman" w:hint="eastAsia"/>
          <w:sz w:val="24"/>
          <w:szCs w:val="24"/>
        </w:rPr>
        <w:t>110</w:t>
      </w:r>
      <w:r>
        <w:rPr>
          <w:rFonts w:ascii="Times New Roman" w:eastAsia="宋体" w:hAnsi="Times New Roman" w:cs="Times New Roman" w:hint="eastAsia"/>
          <w:sz w:val="24"/>
          <w:szCs w:val="24"/>
        </w:rPr>
        <w:t>个，以实现</w:t>
      </w:r>
      <w:r>
        <w:rPr>
          <w:rFonts w:ascii="Times New Roman" w:eastAsia="宋体" w:hAnsi="Times New Roman" w:cs="Times New Roman" w:hint="eastAsia"/>
          <w:sz w:val="24"/>
          <w:szCs w:val="24"/>
        </w:rPr>
        <w:t>0.8-1</w:t>
      </w:r>
      <w:r>
        <w:rPr>
          <w:rFonts w:ascii="Times New Roman" w:eastAsia="宋体" w:hAnsi="Times New Roman" w:cs="Times New Roman" w:hint="eastAsia"/>
          <w:sz w:val="24"/>
          <w:szCs w:val="24"/>
        </w:rPr>
        <w:t>万人口建立一个服务站的标准；规划站点人员数量</w:t>
      </w:r>
      <w:r>
        <w:rPr>
          <w:rFonts w:ascii="Times New Roman" w:eastAsia="宋体" w:hAnsi="Times New Roman" w:cs="Times New Roman" w:hint="eastAsia"/>
          <w:sz w:val="24"/>
          <w:szCs w:val="24"/>
        </w:rPr>
        <w:t>660</w:t>
      </w:r>
      <w:r>
        <w:rPr>
          <w:rFonts w:ascii="Times New Roman" w:eastAsia="宋体" w:hAnsi="Times New Roman" w:cs="Times New Roman" w:hint="eastAsia"/>
          <w:sz w:val="24"/>
          <w:szCs w:val="24"/>
        </w:rPr>
        <w:t>人；并以每个站点每年</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万元为标准规划了站点的运行费用，用于社区服务社区卫生服务站开展基本医疗和基本公共卫生服务发生的水、电、采暖、通信、工本费用，以及必要的常规诊疗设备更新费用。</w:t>
      </w:r>
    </w:p>
    <w:p w:rsidR="00D23886" w:rsidRDefault="007B2FA1">
      <w:pPr>
        <w:pStyle w:val="2"/>
        <w:snapToGrid w:val="0"/>
        <w:ind w:left="420"/>
        <w:rPr>
          <w:rFonts w:ascii="Times New Roman" w:eastAsia="宋体" w:hAnsi="Times New Roman"/>
          <w:sz w:val="24"/>
          <w:szCs w:val="24"/>
        </w:rPr>
      </w:pPr>
      <w:r>
        <w:rPr>
          <w:rFonts w:ascii="Times New Roman" w:eastAsia="宋体" w:hAnsi="Times New Roman"/>
          <w:sz w:val="24"/>
          <w:szCs w:val="24"/>
        </w:rPr>
        <w:t>（四）组织管理和实施情况</w:t>
      </w:r>
      <w:bookmarkEnd w:id="11"/>
      <w:bookmarkEnd w:id="12"/>
    </w:p>
    <w:p w:rsidR="00D23886" w:rsidRDefault="007B2FA1">
      <w:pPr>
        <w:pStyle w:val="3"/>
        <w:ind w:left="630"/>
        <w:rPr>
          <w:rFonts w:ascii="Times New Roman" w:eastAsia="宋体" w:hAnsi="Times New Roman" w:cs="Times New Roman"/>
          <w:sz w:val="24"/>
          <w:szCs w:val="24"/>
        </w:rPr>
      </w:pPr>
      <w:bookmarkStart w:id="13" w:name="_Toc85135172"/>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项目实施方案</w:t>
      </w:r>
      <w:bookmarkEnd w:id="13"/>
    </w:p>
    <w:p w:rsidR="00D23886" w:rsidRDefault="007B2FA1">
      <w:pPr>
        <w:widowControl/>
        <w:spacing w:line="360" w:lineRule="auto"/>
        <w:ind w:firstLine="42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天津市西青区卫生健康委员会为本项目的主责部门，负责统一规划和组织实施社区卫生服务站的人员、业务、财务、药械和绩效考核等方面的规范化管理体制。</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西青区卫健委与各社区卫生服务中心签订目标管理责任书，各社区卫生服务中心针对辖区实际情况制定社区卫生服务站绩效考核办法，报西青区卫健委备案，并将绩效考核结果作为社区医生执业注册、动态调整和绩效分配的主要依据。西青区卫健委审核各中心上报的站点人员名单及考评资料（或有），并将其作为站点工资、乡医补助发放的主要依据。同时，各中心于当年向西青区卫健委上报运行费用申报表，包含各中心管辖的开放站点及开放月数，作为年度审核并发放运行费用的依据。</w:t>
      </w:r>
    </w:p>
    <w:p w:rsidR="00D23886" w:rsidRDefault="00D23886">
      <w:pPr>
        <w:rPr>
          <w:rFonts w:ascii="Times New Roman" w:eastAsia="宋体" w:hAnsi="Times New Roman" w:cs="Times New Roman"/>
          <w:sz w:val="24"/>
          <w:szCs w:val="24"/>
        </w:rPr>
      </w:pPr>
    </w:p>
    <w:p w:rsidR="00D23886" w:rsidRDefault="007B2FA1">
      <w:pPr>
        <w:pStyle w:val="3"/>
        <w:ind w:left="630"/>
        <w:rPr>
          <w:rFonts w:ascii="Times New Roman" w:eastAsia="宋体" w:hAnsi="Times New Roman" w:cs="Times New Roman"/>
          <w:b w:val="0"/>
          <w:bCs w:val="0"/>
          <w:sz w:val="24"/>
          <w:szCs w:val="24"/>
        </w:rPr>
      </w:pPr>
      <w:bookmarkStart w:id="14" w:name="_Toc85135173"/>
      <w:r>
        <w:rPr>
          <w:rFonts w:ascii="Times New Roman" w:eastAsia="宋体" w:hAnsi="Times New Roman" w:cs="Times New Roman" w:hint="eastAsia"/>
          <w:b w:val="0"/>
          <w:bCs w:val="0"/>
          <w:sz w:val="24"/>
          <w:szCs w:val="24"/>
        </w:rPr>
        <w:t>2</w:t>
      </w:r>
      <w:r>
        <w:rPr>
          <w:rFonts w:ascii="Times New Roman" w:eastAsia="宋体" w:hAnsi="Times New Roman" w:cs="Times New Roman" w:hint="eastAsia"/>
          <w:b w:val="0"/>
          <w:bCs w:val="0"/>
          <w:sz w:val="24"/>
          <w:szCs w:val="24"/>
        </w:rPr>
        <w:t>、政策依据</w:t>
      </w:r>
      <w:bookmarkEnd w:id="14"/>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①《“十三五”深化医药卫生体制改革规划》</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②《“健康中国</w:t>
      </w:r>
      <w:r>
        <w:rPr>
          <w:rFonts w:ascii="Times New Roman" w:eastAsia="宋体" w:hAnsi="Times New Roman" w:cs="Times New Roman" w:hint="eastAsia"/>
          <w:sz w:val="24"/>
          <w:szCs w:val="24"/>
        </w:rPr>
        <w:t>2030</w:t>
      </w:r>
      <w:r>
        <w:rPr>
          <w:rFonts w:ascii="Times New Roman" w:eastAsia="宋体" w:hAnsi="Times New Roman" w:cs="Times New Roman" w:hint="eastAsia"/>
          <w:sz w:val="24"/>
          <w:szCs w:val="24"/>
        </w:rPr>
        <w:t>”规划纲要》</w:t>
      </w:r>
    </w:p>
    <w:p w:rsidR="00D23886" w:rsidRDefault="007B2FA1">
      <w:pPr>
        <w:pStyle w:val="a0"/>
        <w:spacing w:after="0" w:line="360" w:lineRule="auto"/>
        <w:ind w:firstLineChars="300" w:firstLine="720"/>
        <w:rPr>
          <w:rFonts w:hAnsi="Times New Roman" w:cs="Times New Roman"/>
          <w:sz w:val="24"/>
        </w:rPr>
      </w:pPr>
      <w:r>
        <w:rPr>
          <w:rFonts w:hAnsi="Times New Roman" w:cs="Times New Roman" w:hint="eastAsia"/>
          <w:sz w:val="24"/>
        </w:rPr>
        <w:t>③</w:t>
      </w:r>
      <w:r>
        <w:rPr>
          <w:rFonts w:hAnsi="Times New Roman" w:cs="Times New Roman" w:hint="eastAsia"/>
          <w:sz w:val="24"/>
        </w:rPr>
        <w:t xml:space="preserve"> </w:t>
      </w:r>
      <w:r>
        <w:rPr>
          <w:rFonts w:hAnsi="Times New Roman" w:cs="Times New Roman" w:hint="eastAsia"/>
          <w:sz w:val="24"/>
        </w:rPr>
        <w:t>国务院办公厅印发《深化医药卫生体制改革</w:t>
      </w:r>
      <w:r>
        <w:rPr>
          <w:rFonts w:hAnsi="Times New Roman" w:cs="Times New Roman" w:hint="eastAsia"/>
          <w:sz w:val="24"/>
        </w:rPr>
        <w:t>2019</w:t>
      </w:r>
      <w:r>
        <w:rPr>
          <w:rFonts w:hAnsi="Times New Roman" w:cs="Times New Roman" w:hint="eastAsia"/>
          <w:sz w:val="24"/>
        </w:rPr>
        <w:t>年重点工作任务》（国办发〔</w:t>
      </w:r>
      <w:r>
        <w:rPr>
          <w:rFonts w:hAnsi="Times New Roman" w:cs="Times New Roman" w:hint="eastAsia"/>
          <w:sz w:val="24"/>
        </w:rPr>
        <w:t>2019</w:t>
      </w:r>
      <w:r>
        <w:rPr>
          <w:rFonts w:hAnsi="Times New Roman" w:cs="Times New Roman" w:hint="eastAsia"/>
          <w:sz w:val="24"/>
        </w:rPr>
        <w:t>〕</w:t>
      </w:r>
      <w:r>
        <w:rPr>
          <w:rFonts w:hAnsi="Times New Roman" w:cs="Times New Roman" w:hint="eastAsia"/>
          <w:sz w:val="24"/>
        </w:rPr>
        <w:t>28</w:t>
      </w:r>
      <w:r>
        <w:rPr>
          <w:rFonts w:hAnsi="Times New Roman" w:cs="Times New Roman" w:hint="eastAsia"/>
          <w:sz w:val="24"/>
        </w:rPr>
        <w:t>号）</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④《中华人民共和国预算法》</w:t>
      </w:r>
    </w:p>
    <w:p w:rsidR="00D23886" w:rsidRDefault="007B2FA1">
      <w:pPr>
        <w:pStyle w:val="a0"/>
        <w:spacing w:after="0" w:line="360" w:lineRule="auto"/>
        <w:ind w:firstLineChars="300" w:firstLine="720"/>
        <w:rPr>
          <w:rFonts w:hAnsi="Times New Roman" w:cs="Times New Roman"/>
          <w:sz w:val="24"/>
        </w:rPr>
      </w:pPr>
      <w:r>
        <w:rPr>
          <w:rFonts w:hAnsi="Times New Roman" w:cs="Times New Roman" w:hint="eastAsia"/>
          <w:sz w:val="24"/>
        </w:rPr>
        <w:t>⑤《国家卫生健康委办公厅关于做好</w:t>
      </w:r>
      <w:r>
        <w:rPr>
          <w:rFonts w:hAnsi="Times New Roman" w:cs="Times New Roman" w:hint="eastAsia"/>
          <w:sz w:val="24"/>
        </w:rPr>
        <w:t>2021</w:t>
      </w:r>
      <w:r>
        <w:rPr>
          <w:rFonts w:hAnsi="Times New Roman" w:cs="Times New Roman" w:hint="eastAsia"/>
          <w:sz w:val="24"/>
        </w:rPr>
        <w:t>年基本药物制度补助项目工作的通知》</w:t>
      </w:r>
    </w:p>
    <w:p w:rsidR="00D23886" w:rsidRDefault="007B2FA1">
      <w:pPr>
        <w:pStyle w:val="a0"/>
        <w:spacing w:after="0" w:line="360" w:lineRule="auto"/>
        <w:ind w:firstLineChars="300" w:firstLine="720"/>
        <w:rPr>
          <w:rFonts w:hAnsi="Times New Roman" w:cs="Times New Roman"/>
          <w:sz w:val="24"/>
        </w:rPr>
      </w:pPr>
      <w:r>
        <w:rPr>
          <w:rFonts w:hAnsi="Times New Roman" w:cs="Times New Roman" w:hint="eastAsia"/>
          <w:sz w:val="24"/>
        </w:rPr>
        <w:t>⑥《关于做好</w:t>
      </w:r>
      <w:r>
        <w:rPr>
          <w:rFonts w:hAnsi="Times New Roman" w:cs="Times New Roman" w:hint="eastAsia"/>
          <w:sz w:val="24"/>
        </w:rPr>
        <w:t>2021</w:t>
      </w:r>
      <w:r>
        <w:rPr>
          <w:rFonts w:hAnsi="Times New Roman" w:cs="Times New Roman" w:hint="eastAsia"/>
          <w:sz w:val="24"/>
        </w:rPr>
        <w:t>年基本公共卫生服务项目工作的通知》（国卫基层发〔</w:t>
      </w:r>
      <w:r>
        <w:rPr>
          <w:rFonts w:hAnsi="Times New Roman" w:cs="Times New Roman" w:hint="eastAsia"/>
          <w:sz w:val="24"/>
        </w:rPr>
        <w:t>2021</w:t>
      </w:r>
      <w:r>
        <w:rPr>
          <w:rFonts w:hAnsi="Times New Roman" w:cs="Times New Roman" w:hint="eastAsia"/>
          <w:sz w:val="24"/>
        </w:rPr>
        <w:t>〕</w:t>
      </w:r>
      <w:r>
        <w:rPr>
          <w:rFonts w:hAnsi="Times New Roman" w:cs="Times New Roman" w:hint="eastAsia"/>
          <w:sz w:val="24"/>
        </w:rPr>
        <w:t>23</w:t>
      </w:r>
      <w:r>
        <w:rPr>
          <w:rFonts w:hAnsi="Times New Roman" w:cs="Times New Roman" w:hint="eastAsia"/>
          <w:sz w:val="24"/>
        </w:rPr>
        <w:t>号）</w:t>
      </w:r>
    </w:p>
    <w:p w:rsidR="00D23886" w:rsidRDefault="007B2FA1">
      <w:pPr>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⑦《关于加强基层医疗卫生机构绩效考核的指导意见（试行）》（国卫办基层发〔</w:t>
      </w:r>
      <w:r>
        <w:rPr>
          <w:rFonts w:ascii="Times New Roman" w:eastAsia="宋体" w:hAnsi="Times New Roman" w:cs="Times New Roman" w:hint="eastAsia"/>
          <w:sz w:val="24"/>
          <w:szCs w:val="24"/>
        </w:rPr>
        <w:t>2020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号）</w:t>
      </w:r>
    </w:p>
    <w:p w:rsidR="00D23886" w:rsidRDefault="007B2FA1">
      <w:pPr>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⑧《财政支出绩效评价管理暂行办法》（财预（</w:t>
      </w:r>
      <w:r>
        <w:rPr>
          <w:rFonts w:ascii="Times New Roman" w:eastAsia="宋体" w:hAnsi="Times New Roman" w:cs="Times New Roman" w:hint="eastAsia"/>
          <w:sz w:val="24"/>
          <w:szCs w:val="24"/>
        </w:rPr>
        <w:t>2011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285</w:t>
      </w:r>
      <w:r>
        <w:rPr>
          <w:rFonts w:ascii="Times New Roman" w:eastAsia="宋体" w:hAnsi="Times New Roman" w:cs="Times New Roman" w:hint="eastAsia"/>
          <w:sz w:val="24"/>
          <w:szCs w:val="24"/>
        </w:rPr>
        <w:t>号）</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⑨《地方预决算公开操作流程》</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⑩《天津市预算审查监督条例》</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Cambria Math" w:eastAsia="宋体" w:hAnsi="Cambria Math" w:cs="Cambria Math"/>
          <w:sz w:val="24"/>
          <w:szCs w:val="24"/>
        </w:rPr>
        <w:t>⑪</w:t>
      </w:r>
      <w:r>
        <w:rPr>
          <w:rFonts w:ascii="Times New Roman" w:eastAsia="宋体" w:hAnsi="Times New Roman" w:cs="Times New Roman" w:hint="eastAsia"/>
          <w:sz w:val="24"/>
          <w:szCs w:val="24"/>
        </w:rPr>
        <w:t>《天津市医疗卫生机构布局规划》（</w:t>
      </w:r>
      <w:r>
        <w:rPr>
          <w:rFonts w:ascii="Times New Roman" w:eastAsia="宋体" w:hAnsi="Times New Roman" w:cs="Times New Roman" w:hint="eastAsia"/>
          <w:sz w:val="24"/>
          <w:szCs w:val="24"/>
        </w:rPr>
        <w:t>2015-2030</w:t>
      </w:r>
      <w:r>
        <w:rPr>
          <w:rFonts w:ascii="Times New Roman" w:eastAsia="宋体" w:hAnsi="Times New Roman" w:cs="Times New Roman" w:hint="eastAsia"/>
          <w:sz w:val="24"/>
          <w:szCs w:val="24"/>
        </w:rPr>
        <w:t>年）</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Cambria Math" w:eastAsia="宋体" w:hAnsi="Cambria Math" w:cs="Cambria Math"/>
          <w:sz w:val="24"/>
          <w:szCs w:val="24"/>
        </w:rPr>
        <w:t>⑫</w:t>
      </w:r>
      <w:r>
        <w:rPr>
          <w:rFonts w:ascii="Times New Roman" w:eastAsia="宋体" w:hAnsi="Times New Roman" w:cs="Times New Roman" w:hint="eastAsia"/>
          <w:sz w:val="24"/>
          <w:szCs w:val="24"/>
        </w:rPr>
        <w:t>《西青区区级项目支出预算管理办法（试行）》</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Cambria Math" w:eastAsia="宋体" w:hAnsi="Cambria Math" w:cs="Cambria Math"/>
          <w:sz w:val="24"/>
          <w:szCs w:val="24"/>
        </w:rPr>
        <w:t>⑬</w:t>
      </w:r>
      <w:r>
        <w:rPr>
          <w:rFonts w:ascii="Times New Roman" w:eastAsia="宋体" w:hAnsi="Times New Roman" w:cs="Times New Roman" w:hint="eastAsia"/>
          <w:sz w:val="24"/>
          <w:szCs w:val="24"/>
        </w:rPr>
        <w:t>《西青区医疗卫生服务体系建设规划实施方案》（</w:t>
      </w:r>
      <w:r>
        <w:rPr>
          <w:rFonts w:ascii="Times New Roman" w:eastAsia="宋体" w:hAnsi="Times New Roman" w:cs="Times New Roman" w:hint="eastAsia"/>
          <w:sz w:val="24"/>
          <w:szCs w:val="24"/>
        </w:rPr>
        <w:t>2016-2020</w:t>
      </w:r>
      <w:r>
        <w:rPr>
          <w:rFonts w:ascii="Times New Roman" w:eastAsia="宋体" w:hAnsi="Times New Roman" w:cs="Times New Roman" w:hint="eastAsia"/>
          <w:sz w:val="24"/>
          <w:szCs w:val="24"/>
        </w:rPr>
        <w:t>年）》</w:t>
      </w:r>
    </w:p>
    <w:p w:rsidR="00D23886" w:rsidRDefault="007B2FA1">
      <w:pPr>
        <w:snapToGrid w:val="0"/>
        <w:spacing w:line="360" w:lineRule="auto"/>
        <w:ind w:firstLineChars="300" w:firstLine="720"/>
        <w:rPr>
          <w:rFonts w:ascii="Times New Roman" w:eastAsia="宋体" w:hAnsi="Times New Roman" w:cs="Times New Roman"/>
          <w:sz w:val="24"/>
          <w:szCs w:val="24"/>
        </w:rPr>
      </w:pPr>
      <w:r>
        <w:rPr>
          <w:rFonts w:ascii="微软雅黑" w:eastAsia="微软雅黑" w:hAnsi="微软雅黑" w:cs="微软雅黑" w:hint="eastAsia"/>
          <w:sz w:val="24"/>
          <w:szCs w:val="24"/>
        </w:rPr>
        <w:t>⑭</w:t>
      </w:r>
      <w:r>
        <w:rPr>
          <w:rFonts w:ascii="Times New Roman" w:eastAsia="宋体" w:hAnsi="Times New Roman" w:cs="Times New Roman" w:hint="eastAsia"/>
          <w:sz w:val="24"/>
          <w:szCs w:val="24"/>
        </w:rPr>
        <w:t>《西青区深化医药卫生体制改革建立优质高效医疗卫生服务体系暨区域医疗卫生服务能力提升工程实施方案》（西青政发办【</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w:t>
      </w:r>
      <w:r>
        <w:rPr>
          <w:rFonts w:ascii="微软雅黑" w:eastAsia="微软雅黑" w:hAnsi="微软雅黑" w:cs="微软雅黑" w:hint="eastAsia"/>
          <w:sz w:val="24"/>
          <w:szCs w:val="24"/>
        </w:rPr>
        <w:t>⑮</w:t>
      </w:r>
      <w:r>
        <w:rPr>
          <w:rFonts w:ascii="Times New Roman" w:eastAsia="宋体" w:hAnsi="Times New Roman" w:cs="Times New Roman" w:hint="eastAsia"/>
          <w:sz w:val="24"/>
          <w:szCs w:val="24"/>
        </w:rPr>
        <w:t>《关于增加区域筑底工程项目的请示》（西青财请【</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88</w:t>
      </w:r>
      <w:r>
        <w:rPr>
          <w:rFonts w:ascii="Times New Roman" w:eastAsia="宋体" w:hAnsi="Times New Roman" w:cs="Times New Roman" w:hint="eastAsia"/>
          <w:sz w:val="24"/>
          <w:szCs w:val="24"/>
        </w:rPr>
        <w:t>号）</w:t>
      </w:r>
    </w:p>
    <w:p w:rsidR="00D23886" w:rsidRDefault="007B2FA1">
      <w:pPr>
        <w:pStyle w:val="a0"/>
        <w:spacing w:after="0" w:line="360" w:lineRule="auto"/>
        <w:rPr>
          <w:rFonts w:hAnsi="Times New Roman" w:cs="Times New Roman"/>
          <w:sz w:val="24"/>
        </w:rPr>
      </w:pPr>
      <w:r>
        <w:rPr>
          <w:rFonts w:hAnsi="Times New Roman" w:cs="Times New Roman" w:hint="eastAsia"/>
          <w:sz w:val="24"/>
        </w:rPr>
        <w:t xml:space="preserve">     </w:t>
      </w:r>
      <w:r>
        <w:rPr>
          <w:rFonts w:hAnsi="Times New Roman" w:cs="Times New Roman"/>
          <w:sz w:val="24"/>
        </w:rPr>
        <w:t xml:space="preserve"> </w:t>
      </w:r>
      <w:r>
        <w:rPr>
          <w:rFonts w:ascii="微软雅黑" w:eastAsia="微软雅黑" w:hAnsi="微软雅黑" w:cs="微软雅黑" w:hint="eastAsia"/>
          <w:sz w:val="24"/>
        </w:rPr>
        <w:t>⑯</w:t>
      </w:r>
      <w:r>
        <w:rPr>
          <w:rFonts w:hAnsi="Times New Roman" w:cs="Times New Roman" w:hint="eastAsia"/>
          <w:sz w:val="24"/>
        </w:rPr>
        <w:t>《关于</w:t>
      </w:r>
      <w:r>
        <w:rPr>
          <w:rFonts w:hAnsi="Times New Roman" w:cs="Times New Roman" w:hint="eastAsia"/>
          <w:sz w:val="24"/>
        </w:rPr>
        <w:t>2021</w:t>
      </w:r>
      <w:r>
        <w:rPr>
          <w:rFonts w:hAnsi="Times New Roman" w:cs="Times New Roman" w:hint="eastAsia"/>
          <w:sz w:val="24"/>
        </w:rPr>
        <w:t>年部门预算的批复》（西青财指【</w:t>
      </w:r>
      <w:r>
        <w:rPr>
          <w:rFonts w:hAnsi="Times New Roman" w:cs="Times New Roman" w:hint="eastAsia"/>
          <w:sz w:val="24"/>
        </w:rPr>
        <w:t>2021</w:t>
      </w:r>
      <w:r>
        <w:rPr>
          <w:rFonts w:hAnsi="Times New Roman" w:cs="Times New Roman" w:hint="eastAsia"/>
          <w:sz w:val="24"/>
        </w:rPr>
        <w:t>】</w:t>
      </w:r>
      <w:r>
        <w:rPr>
          <w:rFonts w:hAnsi="Times New Roman" w:cs="Times New Roman" w:hint="eastAsia"/>
          <w:sz w:val="24"/>
        </w:rPr>
        <w:t>1</w:t>
      </w:r>
      <w:r>
        <w:rPr>
          <w:rFonts w:hAnsi="Times New Roman" w:cs="Times New Roman" w:hint="eastAsia"/>
          <w:sz w:val="24"/>
        </w:rPr>
        <w:t>号）</w:t>
      </w:r>
    </w:p>
    <w:p w:rsidR="00D23886" w:rsidRDefault="007B2FA1">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 </w:t>
      </w:r>
      <w:r>
        <w:rPr>
          <w:rFonts w:ascii="微软雅黑" w:eastAsia="微软雅黑" w:hAnsi="微软雅黑" w:cs="微软雅黑" w:hint="eastAsia"/>
          <w:sz w:val="24"/>
          <w:szCs w:val="24"/>
        </w:rPr>
        <w:t>⑰</w:t>
      </w:r>
      <w:r>
        <w:rPr>
          <w:rFonts w:ascii="Times New Roman" w:eastAsia="宋体" w:hAnsi="Times New Roman" w:cs="Times New Roman" w:hint="eastAsia"/>
          <w:sz w:val="24"/>
          <w:szCs w:val="24"/>
        </w:rPr>
        <w:t>《关于下达区域筑底工程项目资金的指标告知单》（西青财指【</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269</w:t>
      </w:r>
      <w:r>
        <w:rPr>
          <w:rFonts w:ascii="Times New Roman" w:eastAsia="宋体" w:hAnsi="Times New Roman" w:cs="Times New Roman" w:hint="eastAsia"/>
          <w:sz w:val="24"/>
          <w:szCs w:val="24"/>
        </w:rPr>
        <w:t>号）</w:t>
      </w:r>
    </w:p>
    <w:p w:rsidR="00D23886" w:rsidRDefault="007B2FA1">
      <w:pPr>
        <w:snapToGrid w:val="0"/>
        <w:spacing w:line="360" w:lineRule="auto"/>
        <w:ind w:firstLineChars="303" w:firstLine="727"/>
        <w:rPr>
          <w:rFonts w:ascii="Times New Roman" w:eastAsia="宋体" w:hAnsi="Times New Roman" w:cs="Times New Roman"/>
          <w:sz w:val="24"/>
          <w:szCs w:val="24"/>
        </w:rPr>
      </w:pPr>
      <w:r>
        <w:rPr>
          <w:rFonts w:ascii="微软雅黑" w:eastAsia="微软雅黑" w:hAnsi="微软雅黑" w:cs="微软雅黑" w:hint="eastAsia"/>
          <w:sz w:val="24"/>
          <w:szCs w:val="24"/>
        </w:rPr>
        <w:t>⑱</w:t>
      </w:r>
      <w:r>
        <w:rPr>
          <w:rFonts w:ascii="Times New Roman" w:eastAsia="宋体" w:hAnsi="Times New Roman" w:cs="Times New Roman" w:hint="eastAsia"/>
          <w:sz w:val="24"/>
          <w:szCs w:val="24"/>
        </w:rPr>
        <w:t>国家及地方有关的法律、法规、规定的标准</w:t>
      </w:r>
    </w:p>
    <w:p w:rsidR="00D23886" w:rsidRDefault="007B2FA1">
      <w:pPr>
        <w:snapToGrid w:val="0"/>
        <w:spacing w:line="360" w:lineRule="auto"/>
        <w:ind w:firstLineChars="303" w:firstLine="727"/>
      </w:pPr>
      <w:r>
        <w:rPr>
          <w:rFonts w:ascii="微软雅黑" w:eastAsia="微软雅黑" w:hAnsi="微软雅黑" w:cs="微软雅黑" w:hint="eastAsia"/>
          <w:sz w:val="24"/>
          <w:szCs w:val="24"/>
        </w:rPr>
        <w:t>⑲</w:t>
      </w:r>
      <w:r>
        <w:rPr>
          <w:rFonts w:ascii="Times New Roman" w:eastAsia="宋体" w:hAnsi="Times New Roman" w:cs="Times New Roman" w:hint="eastAsia"/>
          <w:sz w:val="24"/>
          <w:szCs w:val="24"/>
        </w:rPr>
        <w:t>西青区社区卫生服务站（村卫生室）相关管理制度</w:t>
      </w:r>
    </w:p>
    <w:p w:rsidR="00D23886" w:rsidRDefault="007B2FA1">
      <w:pPr>
        <w:pStyle w:val="2"/>
        <w:snapToGrid w:val="0"/>
        <w:ind w:left="420"/>
        <w:rPr>
          <w:rFonts w:ascii="Times New Roman" w:eastAsia="宋体" w:hAnsi="Times New Roman"/>
          <w:sz w:val="24"/>
          <w:szCs w:val="24"/>
        </w:rPr>
      </w:pPr>
      <w:bookmarkStart w:id="15" w:name="_Toc85135174"/>
      <w:r>
        <w:rPr>
          <w:rFonts w:ascii="Times New Roman" w:eastAsia="宋体" w:hAnsi="Times New Roman"/>
          <w:sz w:val="24"/>
          <w:szCs w:val="24"/>
        </w:rPr>
        <w:t>（五）相关利益方</w:t>
      </w:r>
      <w:bookmarkEnd w:id="15"/>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本项目涉及的相关利益方包括：</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资金拨付与监督单位：</w:t>
      </w:r>
      <w:r>
        <w:rPr>
          <w:rFonts w:ascii="Times New Roman" w:eastAsia="宋体" w:hAnsi="Times New Roman" w:cs="Times New Roman" w:hint="eastAsia"/>
          <w:sz w:val="24"/>
          <w:szCs w:val="24"/>
        </w:rPr>
        <w:t>天津市西青区财政局</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管理</w:t>
      </w:r>
      <w:r>
        <w:rPr>
          <w:rFonts w:ascii="Times New Roman" w:eastAsia="宋体" w:hAnsi="Times New Roman" w:cs="Times New Roman"/>
          <w:sz w:val="24"/>
          <w:szCs w:val="24"/>
        </w:rPr>
        <w:t>单位：</w:t>
      </w:r>
      <w:r>
        <w:rPr>
          <w:rFonts w:ascii="Times New Roman" w:eastAsia="宋体" w:hAnsi="Times New Roman" w:cs="Times New Roman" w:hint="eastAsia"/>
          <w:sz w:val="24"/>
          <w:szCs w:val="24"/>
        </w:rPr>
        <w:t>天津市西青区卫生健康委员会</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、项目落实单位：西青区各街镇社区卫生服务中心；</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项目受益方：</w:t>
      </w:r>
      <w:r>
        <w:rPr>
          <w:rFonts w:ascii="Times New Roman" w:eastAsia="宋体" w:hAnsi="Times New Roman" w:cs="Times New Roman" w:hint="eastAsia"/>
          <w:sz w:val="24"/>
          <w:szCs w:val="24"/>
        </w:rPr>
        <w:t>西青区</w:t>
      </w:r>
      <w:r>
        <w:rPr>
          <w:rFonts w:ascii="Times New Roman" w:eastAsia="宋体" w:hAnsi="Times New Roman" w:cs="Times New Roman"/>
          <w:sz w:val="24"/>
          <w:szCs w:val="24"/>
        </w:rPr>
        <w:t>常住居民。</w:t>
      </w:r>
    </w:p>
    <w:p w:rsidR="00D23886" w:rsidRDefault="007B2FA1">
      <w:pPr>
        <w:pStyle w:val="1"/>
        <w:snapToGrid w:val="0"/>
        <w:ind w:left="420"/>
        <w:rPr>
          <w:rFonts w:ascii="Times New Roman" w:eastAsia="宋体" w:hAnsi="Times New Roman"/>
          <w:sz w:val="24"/>
          <w:szCs w:val="24"/>
        </w:rPr>
      </w:pPr>
      <w:bookmarkStart w:id="16" w:name="_Toc497174786"/>
      <w:bookmarkStart w:id="17" w:name="_Toc85135175"/>
      <w:r>
        <w:rPr>
          <w:rFonts w:ascii="Times New Roman" w:eastAsia="宋体" w:hAnsi="Times New Roman"/>
          <w:sz w:val="24"/>
          <w:szCs w:val="24"/>
        </w:rPr>
        <w:t>二、</w:t>
      </w:r>
      <w:r>
        <w:rPr>
          <w:rFonts w:ascii="Times New Roman" w:eastAsia="宋体" w:hAnsi="Times New Roman" w:hint="eastAsia"/>
          <w:sz w:val="24"/>
          <w:szCs w:val="24"/>
        </w:rPr>
        <w:t>绩效</w:t>
      </w:r>
      <w:r>
        <w:rPr>
          <w:rFonts w:ascii="Times New Roman" w:eastAsia="宋体" w:hAnsi="Times New Roman"/>
          <w:sz w:val="24"/>
          <w:szCs w:val="24"/>
        </w:rPr>
        <w:t>评价工作实施情况</w:t>
      </w:r>
      <w:bookmarkEnd w:id="16"/>
      <w:bookmarkEnd w:id="17"/>
    </w:p>
    <w:p w:rsidR="00D23886" w:rsidRDefault="007B2FA1">
      <w:pPr>
        <w:pStyle w:val="2"/>
        <w:snapToGrid w:val="0"/>
        <w:ind w:left="420"/>
        <w:rPr>
          <w:rFonts w:ascii="Times New Roman" w:eastAsia="宋体" w:hAnsi="Times New Roman"/>
          <w:sz w:val="24"/>
          <w:szCs w:val="24"/>
          <w:u w:color="000000"/>
          <w:lang w:val="zh-TW"/>
        </w:rPr>
      </w:pPr>
      <w:bookmarkStart w:id="18" w:name="_Toc497174787"/>
      <w:bookmarkStart w:id="19" w:name="_Toc465099014"/>
      <w:bookmarkStart w:id="20" w:name="_Toc490229520"/>
      <w:bookmarkStart w:id="21" w:name="_Toc464822524"/>
      <w:bookmarkStart w:id="22" w:name="_Toc85135176"/>
      <w:bookmarkStart w:id="23" w:name="_Toc467246329"/>
      <w:r>
        <w:rPr>
          <w:rFonts w:ascii="Times New Roman" w:eastAsia="宋体" w:hAnsi="Times New Roman"/>
          <w:sz w:val="24"/>
          <w:szCs w:val="24"/>
          <w:u w:color="000000"/>
          <w:lang w:val="zh-TW"/>
        </w:rPr>
        <w:t>（一）</w:t>
      </w:r>
      <w:r>
        <w:rPr>
          <w:rFonts w:ascii="Times New Roman" w:eastAsia="宋体" w:hAnsi="Times New Roman" w:hint="eastAsia"/>
          <w:sz w:val="24"/>
          <w:szCs w:val="24"/>
          <w:u w:color="000000"/>
        </w:rPr>
        <w:t>绩效</w:t>
      </w:r>
      <w:r>
        <w:rPr>
          <w:rFonts w:ascii="Times New Roman" w:eastAsia="宋体" w:hAnsi="Times New Roman"/>
          <w:sz w:val="24"/>
          <w:szCs w:val="24"/>
          <w:u w:color="000000"/>
          <w:lang w:val="zh-TW"/>
        </w:rPr>
        <w:t>评价工作目的</w:t>
      </w:r>
      <w:bookmarkEnd w:id="18"/>
      <w:bookmarkEnd w:id="19"/>
      <w:bookmarkEnd w:id="20"/>
      <w:bookmarkEnd w:id="21"/>
      <w:bookmarkEnd w:id="22"/>
      <w:bookmarkEnd w:id="23"/>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财政支出绩效评价旨在通过评价改善预算部门的财政支出管理，优化资源配置、提高公共服务水平。我们通过资料收集、访谈、</w:t>
      </w:r>
      <w:r>
        <w:rPr>
          <w:rFonts w:ascii="Times New Roman" w:eastAsia="宋体" w:hAnsi="Times New Roman" w:cs="Times New Roman" w:hint="eastAsia"/>
          <w:sz w:val="24"/>
          <w:szCs w:val="24"/>
        </w:rPr>
        <w:t>现场查看</w:t>
      </w:r>
      <w:r>
        <w:rPr>
          <w:rFonts w:ascii="Times New Roman" w:eastAsia="宋体" w:hAnsi="Times New Roman" w:cs="Times New Roman"/>
          <w:sz w:val="24"/>
          <w:szCs w:val="24"/>
        </w:rPr>
        <w:t>、数据分析等方式，对项目决策的科学性、合理性，管理的有效性、产出和效果的绩效性进行全面客观的了解，从而总结项目执行过程中的经验和存在的问题，并提出针对性建议。</w:t>
      </w:r>
    </w:p>
    <w:p w:rsidR="00D23886" w:rsidRDefault="007B2FA1">
      <w:pPr>
        <w:pStyle w:val="2"/>
        <w:snapToGrid w:val="0"/>
        <w:ind w:left="420"/>
        <w:rPr>
          <w:rFonts w:ascii="Times New Roman" w:eastAsia="宋体" w:hAnsi="Times New Roman"/>
          <w:sz w:val="24"/>
          <w:szCs w:val="24"/>
          <w:u w:color="000000"/>
          <w:lang w:val="zh-TW"/>
        </w:rPr>
      </w:pPr>
      <w:bookmarkStart w:id="24" w:name="_Toc85135177"/>
      <w:r>
        <w:rPr>
          <w:rFonts w:ascii="Times New Roman" w:eastAsia="宋体" w:hAnsi="Times New Roman"/>
          <w:sz w:val="24"/>
          <w:szCs w:val="24"/>
          <w:u w:color="000000"/>
          <w:lang w:val="zh-TW"/>
        </w:rPr>
        <w:t>（二）绩效评价工作方案</w:t>
      </w:r>
      <w:bookmarkEnd w:id="24"/>
    </w:p>
    <w:p w:rsidR="00D23886" w:rsidRDefault="007B2FA1">
      <w:pPr>
        <w:pStyle w:val="3"/>
        <w:ind w:left="630"/>
        <w:rPr>
          <w:rFonts w:ascii="Times New Roman" w:eastAsia="宋体" w:hAnsi="Times New Roman" w:cs="Times New Roman"/>
          <w:sz w:val="24"/>
          <w:szCs w:val="24"/>
        </w:rPr>
      </w:pPr>
      <w:bookmarkStart w:id="25" w:name="_Toc85135178"/>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成立绩效评价项目小组</w:t>
      </w:r>
      <w:bookmarkEnd w:id="25"/>
    </w:p>
    <w:p w:rsidR="00D23886" w:rsidRDefault="007B2FA1">
      <w:pPr>
        <w:adjustRightInd w:val="0"/>
        <w:snapToGrid w:val="0"/>
        <w:spacing w:line="360" w:lineRule="auto"/>
        <w:ind w:firstLineChars="202" w:firstLine="485"/>
        <w:rPr>
          <w:rFonts w:ascii="Times New Roman" w:eastAsia="宋体" w:hAnsi="Times New Roman" w:cs="Times New Roman"/>
          <w:kern w:val="0"/>
          <w:sz w:val="24"/>
          <w:szCs w:val="24"/>
        </w:rPr>
      </w:pPr>
      <w:r>
        <w:rPr>
          <w:rFonts w:ascii="Times New Roman" w:eastAsia="宋体" w:hAnsi="Times New Roman" w:cs="Times New Roman"/>
          <w:kern w:val="0"/>
          <w:sz w:val="24"/>
          <w:szCs w:val="24"/>
        </w:rPr>
        <w:t>根据财政部《财政支出绩效评价管理暂行办法》（财预（</w:t>
      </w:r>
      <w:r>
        <w:rPr>
          <w:rFonts w:ascii="Times New Roman" w:eastAsia="宋体" w:hAnsi="Times New Roman" w:cs="Times New Roman"/>
          <w:kern w:val="0"/>
          <w:sz w:val="24"/>
          <w:szCs w:val="24"/>
        </w:rPr>
        <w:t>2011</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285</w:t>
      </w:r>
      <w:r>
        <w:rPr>
          <w:rFonts w:ascii="Times New Roman" w:eastAsia="宋体" w:hAnsi="Times New Roman" w:cs="Times New Roman"/>
          <w:kern w:val="0"/>
          <w:sz w:val="24"/>
          <w:szCs w:val="24"/>
        </w:rPr>
        <w:t>号）的要求，成立绩效评价项目小组，具体</w:t>
      </w:r>
      <w:r>
        <w:rPr>
          <w:rFonts w:ascii="Times New Roman" w:eastAsia="宋体" w:hAnsi="Times New Roman" w:cs="Times New Roman" w:hint="eastAsia"/>
          <w:kern w:val="0"/>
          <w:sz w:val="24"/>
          <w:szCs w:val="24"/>
        </w:rPr>
        <w:t>进行筑底项目</w:t>
      </w:r>
      <w:r>
        <w:rPr>
          <w:rFonts w:ascii="Times New Roman" w:eastAsia="宋体" w:hAnsi="Times New Roman" w:cs="Times New Roman"/>
          <w:kern w:val="0"/>
          <w:sz w:val="24"/>
          <w:szCs w:val="24"/>
        </w:rPr>
        <w:t>绩效评价工作。</w:t>
      </w:r>
    </w:p>
    <w:p w:rsidR="00D23886" w:rsidRDefault="007B2FA1">
      <w:pPr>
        <w:pStyle w:val="3"/>
        <w:ind w:left="630"/>
        <w:rPr>
          <w:rFonts w:ascii="Times New Roman" w:eastAsia="宋体" w:hAnsi="Times New Roman" w:cs="Times New Roman"/>
          <w:sz w:val="24"/>
          <w:szCs w:val="24"/>
        </w:rPr>
      </w:pPr>
      <w:bookmarkStart w:id="26" w:name="_Toc85135179"/>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绩效评价实施过程</w:t>
      </w:r>
      <w:bookmarkEnd w:id="26"/>
    </w:p>
    <w:p w:rsidR="00D23886" w:rsidRDefault="007B2FA1">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制定项目绩效评价方案，工作方案包括</w:t>
      </w:r>
      <w:r>
        <w:rPr>
          <w:rFonts w:ascii="Times New Roman" w:eastAsia="宋体" w:hAnsi="Times New Roman" w:cs="Times New Roman" w:hint="eastAsia"/>
          <w:kern w:val="0"/>
          <w:sz w:val="24"/>
          <w:szCs w:val="24"/>
        </w:rPr>
        <w:t>筑底项目</w:t>
      </w:r>
      <w:r>
        <w:rPr>
          <w:rFonts w:ascii="Times New Roman" w:eastAsia="宋体" w:hAnsi="Times New Roman" w:cs="Times New Roman"/>
          <w:kern w:val="0"/>
          <w:sz w:val="24"/>
          <w:szCs w:val="24"/>
        </w:rPr>
        <w:t>绩效评价实施方案、评价指标体系及评价标准、访谈大纲、基础数据表、绩效评价资料清单。项目小组对</w:t>
      </w:r>
      <w:r>
        <w:rPr>
          <w:rFonts w:ascii="Times New Roman" w:eastAsia="宋体" w:hAnsi="Times New Roman" w:cs="Times New Roman" w:hint="eastAsia"/>
          <w:kern w:val="0"/>
          <w:sz w:val="24"/>
          <w:szCs w:val="24"/>
        </w:rPr>
        <w:t>筑底项目</w:t>
      </w:r>
      <w:r>
        <w:rPr>
          <w:rFonts w:ascii="Times New Roman" w:eastAsia="宋体" w:hAnsi="Times New Roman" w:cs="Times New Roman"/>
          <w:kern w:val="0"/>
          <w:sz w:val="24"/>
          <w:szCs w:val="24"/>
        </w:rPr>
        <w:t>绩效评价相关事项进行讨论与研究，设计</w:t>
      </w:r>
      <w:r>
        <w:rPr>
          <w:rFonts w:ascii="Times New Roman" w:eastAsia="宋体" w:hAnsi="Times New Roman" w:cs="Times New Roman" w:hint="eastAsia"/>
          <w:kern w:val="0"/>
          <w:sz w:val="24"/>
          <w:szCs w:val="24"/>
        </w:rPr>
        <w:t>访谈模式</w:t>
      </w:r>
      <w:r>
        <w:rPr>
          <w:rFonts w:ascii="Times New Roman" w:eastAsia="宋体" w:hAnsi="Times New Roman" w:cs="Times New Roman"/>
          <w:kern w:val="0"/>
          <w:sz w:val="24"/>
          <w:szCs w:val="24"/>
        </w:rPr>
        <w:t>，确定评价依据、数据来源及证据收集方法；</w:t>
      </w:r>
    </w:p>
    <w:p w:rsidR="00D23886" w:rsidRDefault="007B2FA1">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2.2</w:t>
      </w:r>
      <w:r>
        <w:rPr>
          <w:rFonts w:ascii="Times New Roman" w:eastAsia="宋体" w:hAnsi="Times New Roman" w:cs="Times New Roman"/>
          <w:kern w:val="0"/>
          <w:sz w:val="24"/>
          <w:szCs w:val="24"/>
        </w:rPr>
        <w:t>根据制定的</w:t>
      </w:r>
      <w:r>
        <w:rPr>
          <w:rFonts w:ascii="Times New Roman" w:eastAsia="宋体" w:hAnsi="Times New Roman" w:cs="Times New Roman" w:hint="eastAsia"/>
          <w:kern w:val="0"/>
          <w:sz w:val="24"/>
          <w:szCs w:val="24"/>
        </w:rPr>
        <w:t>筑底项目</w:t>
      </w:r>
      <w:r>
        <w:rPr>
          <w:rFonts w:ascii="Times New Roman" w:eastAsia="宋体" w:hAnsi="Times New Roman" w:cs="Times New Roman"/>
          <w:kern w:val="0"/>
          <w:sz w:val="24"/>
          <w:szCs w:val="24"/>
        </w:rPr>
        <w:t>绩效评价工作方案，收集项目实施材料，同时前往实施地，通过现场评价方法进行绩效评价。包括收集、审核基础资料；开展现场调查，核实项目是否实施以及项目实施情况是否良好，并进行拍照留痕；对收集的证据运用科学的方法进行综合分析；</w:t>
      </w:r>
    </w:p>
    <w:p w:rsidR="00D23886" w:rsidRDefault="007B2FA1">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2.3</w:t>
      </w:r>
      <w:r>
        <w:rPr>
          <w:rFonts w:ascii="Times New Roman" w:eastAsia="宋体" w:hAnsi="Times New Roman" w:cs="Times New Roman"/>
          <w:kern w:val="0"/>
          <w:sz w:val="24"/>
          <w:szCs w:val="24"/>
        </w:rPr>
        <w:t>根据分析后的情况评分，形成综合评价结果，将评价结果纳入已确定的各项指标临界区间进行比较，确定绩效评价等级（优、良、中、差）；</w:t>
      </w:r>
    </w:p>
    <w:p w:rsidR="00D23886" w:rsidRDefault="007B2FA1">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2.4</w:t>
      </w:r>
      <w:r>
        <w:rPr>
          <w:rFonts w:ascii="Times New Roman" w:eastAsia="宋体" w:hAnsi="Times New Roman" w:cs="Times New Roman"/>
          <w:kern w:val="0"/>
          <w:sz w:val="24"/>
          <w:szCs w:val="24"/>
        </w:rPr>
        <w:t>撰写项目绩效评价报告初稿，并与</w:t>
      </w:r>
      <w:r>
        <w:rPr>
          <w:rFonts w:ascii="Times New Roman" w:eastAsia="宋体" w:hAnsi="Times New Roman" w:cs="Times New Roman" w:hint="eastAsia"/>
          <w:kern w:val="0"/>
          <w:sz w:val="24"/>
          <w:szCs w:val="24"/>
        </w:rPr>
        <w:t>区</w:t>
      </w:r>
      <w:r>
        <w:rPr>
          <w:rFonts w:ascii="Times New Roman" w:eastAsia="宋体" w:hAnsi="Times New Roman" w:cs="Times New Roman"/>
          <w:kern w:val="0"/>
          <w:sz w:val="24"/>
          <w:szCs w:val="24"/>
        </w:rPr>
        <w:t>财政及相关部门反馈沟通，根据反馈意见修改报告</w:t>
      </w:r>
      <w:r>
        <w:rPr>
          <w:rFonts w:ascii="Times New Roman" w:eastAsia="宋体" w:hAnsi="Times New Roman" w:cs="Times New Roman" w:hint="eastAsia"/>
          <w:kern w:val="0"/>
          <w:sz w:val="24"/>
          <w:szCs w:val="24"/>
        </w:rPr>
        <w:t>。</w:t>
      </w:r>
    </w:p>
    <w:p w:rsidR="00D23886" w:rsidRDefault="007B2FA1">
      <w:pPr>
        <w:pStyle w:val="2"/>
        <w:snapToGrid w:val="0"/>
        <w:ind w:left="420"/>
        <w:rPr>
          <w:rFonts w:ascii="Times New Roman" w:eastAsia="宋体" w:hAnsi="Times New Roman"/>
          <w:sz w:val="24"/>
          <w:szCs w:val="24"/>
          <w:u w:color="000000"/>
          <w:lang w:val="zh-TW"/>
        </w:rPr>
      </w:pPr>
      <w:bookmarkStart w:id="27" w:name="_Toc85135180"/>
      <w:r>
        <w:rPr>
          <w:rFonts w:ascii="Times New Roman" w:eastAsia="宋体" w:hAnsi="Times New Roman"/>
          <w:sz w:val="24"/>
          <w:szCs w:val="24"/>
          <w:u w:color="000000"/>
          <w:lang w:val="zh-TW"/>
        </w:rPr>
        <w:t>（三）绩效评价原则、评价方法、指标设计</w:t>
      </w:r>
      <w:bookmarkEnd w:id="27"/>
    </w:p>
    <w:p w:rsidR="00D23886" w:rsidRDefault="007B2FA1">
      <w:pPr>
        <w:pStyle w:val="3"/>
        <w:ind w:left="630"/>
        <w:rPr>
          <w:rFonts w:ascii="Times New Roman" w:eastAsia="宋体" w:hAnsi="Times New Roman" w:cs="Times New Roman"/>
          <w:sz w:val="24"/>
          <w:szCs w:val="24"/>
        </w:rPr>
      </w:pPr>
      <w:bookmarkStart w:id="28" w:name="_Toc85135181"/>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绩效评价原则</w:t>
      </w:r>
      <w:bookmarkEnd w:id="28"/>
    </w:p>
    <w:p w:rsidR="00D23886" w:rsidRDefault="007B2FA1">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我们严格执行规定的程序，按照科学可行的要求，采用定量与定性分析相结合的方法，对</w:t>
      </w:r>
      <w:r>
        <w:rPr>
          <w:rFonts w:ascii="Times New Roman" w:eastAsia="宋体" w:hAnsi="Times New Roman" w:cs="Times New Roman" w:hint="eastAsia"/>
          <w:kern w:val="0"/>
          <w:sz w:val="24"/>
          <w:szCs w:val="24"/>
        </w:rPr>
        <w:t>筑底项目</w:t>
      </w:r>
      <w:r>
        <w:rPr>
          <w:rFonts w:ascii="Times New Roman" w:eastAsia="宋体" w:hAnsi="Times New Roman" w:cs="Times New Roman"/>
          <w:kern w:val="0"/>
          <w:sz w:val="24"/>
          <w:szCs w:val="24"/>
        </w:rPr>
        <w:t>进行绩效评价。针对反映产出、效果等方面的末级明细指标，以取得的可量化的数据为基础进行评分，降低评价人员的主观影响。</w:t>
      </w:r>
    </w:p>
    <w:p w:rsidR="00D23886" w:rsidRDefault="007B2FA1">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）科学规范原则。绩效评价注重财政支出的经济性、效率性和有效性，严格执行规定的程序，采用定量与定性分析相结合的方法；</w:t>
      </w:r>
    </w:p>
    <w:p w:rsidR="00D23886" w:rsidRDefault="007B2FA1">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2</w:t>
      </w:r>
      <w:r>
        <w:rPr>
          <w:rFonts w:ascii="Times New Roman" w:eastAsia="宋体" w:hAnsi="Times New Roman" w:cs="Times New Roman"/>
          <w:kern w:val="0"/>
          <w:sz w:val="24"/>
          <w:szCs w:val="24"/>
        </w:rPr>
        <w:t>）公开公正原则。本次绩效评价符合真实、客观、公正的要求，依法公开接受监督</w:t>
      </w:r>
      <w:r>
        <w:rPr>
          <w:rFonts w:ascii="Times New Roman" w:eastAsia="宋体" w:hAnsi="Times New Roman" w:cs="Times New Roman" w:hint="eastAsia"/>
          <w:kern w:val="0"/>
          <w:sz w:val="24"/>
          <w:szCs w:val="24"/>
        </w:rPr>
        <w:t>；</w:t>
      </w:r>
    </w:p>
    <w:p w:rsidR="00D23886" w:rsidRDefault="007B2FA1">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3</w:t>
      </w:r>
      <w:r>
        <w:rPr>
          <w:rFonts w:ascii="Times New Roman" w:eastAsia="宋体" w:hAnsi="Times New Roman" w:cs="Times New Roman"/>
          <w:kern w:val="0"/>
          <w:sz w:val="24"/>
          <w:szCs w:val="24"/>
        </w:rPr>
        <w:t>）分级分类原则。本次绩效评价根据评价对象的特点，分类组织实施</w:t>
      </w:r>
      <w:r>
        <w:rPr>
          <w:rFonts w:ascii="Times New Roman" w:eastAsia="宋体" w:hAnsi="Times New Roman" w:cs="Times New Roman" w:hint="eastAsia"/>
          <w:kern w:val="0"/>
          <w:sz w:val="24"/>
          <w:szCs w:val="24"/>
        </w:rPr>
        <w:t>；</w:t>
      </w:r>
    </w:p>
    <w:p w:rsidR="00D23886" w:rsidRDefault="007B2FA1">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4</w:t>
      </w:r>
      <w:r>
        <w:rPr>
          <w:rFonts w:ascii="Times New Roman" w:eastAsia="宋体" w:hAnsi="Times New Roman" w:cs="Times New Roman"/>
          <w:kern w:val="0"/>
          <w:sz w:val="24"/>
          <w:szCs w:val="24"/>
        </w:rPr>
        <w:t>）绩效相关原则。我们使用与绩效目标有直接联系，能够恰当反映目标实现程度的绩效评价指标，如</w:t>
      </w:r>
      <w:r>
        <w:rPr>
          <w:rFonts w:ascii="Times New Roman" w:eastAsia="宋体" w:hAnsi="Times New Roman" w:cs="Times New Roman" w:hint="eastAsia"/>
          <w:kern w:val="0"/>
          <w:sz w:val="24"/>
          <w:szCs w:val="24"/>
        </w:rPr>
        <w:t>站点人员完成率</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站点完成率、运行费用完成率等</w:t>
      </w:r>
      <w:r>
        <w:rPr>
          <w:rFonts w:ascii="Times New Roman" w:eastAsia="宋体" w:hAnsi="Times New Roman" w:cs="Times New Roman"/>
          <w:kern w:val="0"/>
          <w:sz w:val="24"/>
          <w:szCs w:val="24"/>
        </w:rPr>
        <w:t>。</w:t>
      </w:r>
    </w:p>
    <w:p w:rsidR="00D23886" w:rsidRDefault="007B2FA1">
      <w:pPr>
        <w:pStyle w:val="3"/>
        <w:ind w:left="630"/>
        <w:rPr>
          <w:rFonts w:ascii="Times New Roman" w:eastAsia="宋体" w:hAnsi="Times New Roman" w:cs="Times New Roman"/>
          <w:sz w:val="24"/>
          <w:szCs w:val="24"/>
        </w:rPr>
      </w:pPr>
      <w:bookmarkStart w:id="29" w:name="_Toc85135182"/>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绩效评价工作方法</w:t>
      </w:r>
      <w:bookmarkEnd w:id="29"/>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2.1</w:t>
      </w:r>
      <w:r>
        <w:rPr>
          <w:rFonts w:ascii="Times New Roman" w:eastAsia="宋体" w:hAnsi="Times New Roman" w:cs="Times New Roman"/>
          <w:sz w:val="24"/>
          <w:szCs w:val="24"/>
        </w:rPr>
        <w:t>绩效评价的方式为现场评价方式</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绩效评价小组到现场采取询问、观察、检查、复核等方式对评价项目的有关情况进行核实，对收集的资料进行整理和科学的分析，根据综合分析的结果得出评价结果，撰写评价报告。</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2.2</w:t>
      </w:r>
      <w:r>
        <w:rPr>
          <w:rFonts w:ascii="Times New Roman" w:eastAsia="宋体" w:hAnsi="Times New Roman" w:cs="Times New Roman"/>
          <w:sz w:val="24"/>
          <w:szCs w:val="24"/>
        </w:rPr>
        <w:t>绩效评价方法</w:t>
      </w:r>
    </w:p>
    <w:p w:rsidR="00D23886" w:rsidRDefault="007B2FA1">
      <w:pPr>
        <w:pStyle w:val="a4"/>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主要包括成本效益分析法、比较法、最低成本法、公众评判法、统计计算法等。根据</w:t>
      </w:r>
      <w:r>
        <w:rPr>
          <w:rFonts w:ascii="Times New Roman" w:eastAsia="宋体" w:hAnsi="Times New Roman" w:cs="Times New Roman" w:hint="eastAsia"/>
          <w:sz w:val="24"/>
          <w:szCs w:val="24"/>
        </w:rPr>
        <w:t>筑底</w:t>
      </w:r>
      <w:r>
        <w:rPr>
          <w:rFonts w:ascii="Times New Roman" w:eastAsia="宋体" w:hAnsi="Times New Roman" w:cs="Times New Roman"/>
          <w:sz w:val="24"/>
          <w:szCs w:val="24"/>
        </w:rPr>
        <w:t>项目绩效评价</w:t>
      </w:r>
      <w:r>
        <w:rPr>
          <w:rFonts w:ascii="Times New Roman" w:eastAsia="宋体" w:hAnsi="Times New Roman" w:cs="Times New Roman" w:hint="eastAsia"/>
          <w:sz w:val="24"/>
          <w:szCs w:val="24"/>
        </w:rPr>
        <w:t>的</w:t>
      </w:r>
      <w:r>
        <w:rPr>
          <w:rFonts w:ascii="Times New Roman" w:eastAsia="宋体" w:hAnsi="Times New Roman" w:cs="Times New Roman"/>
          <w:sz w:val="24"/>
          <w:szCs w:val="24"/>
        </w:rPr>
        <w:t>特点</w:t>
      </w:r>
      <w:r>
        <w:rPr>
          <w:rFonts w:ascii="Times New Roman" w:eastAsia="宋体" w:hAnsi="Times New Roman" w:cs="Times New Roman" w:hint="eastAsia"/>
          <w:sz w:val="24"/>
          <w:szCs w:val="24"/>
        </w:rPr>
        <w:t>及</w:t>
      </w:r>
      <w:r>
        <w:rPr>
          <w:rFonts w:ascii="Times New Roman" w:eastAsia="宋体" w:hAnsi="Times New Roman" w:cs="Times New Roman"/>
          <w:sz w:val="24"/>
          <w:szCs w:val="24"/>
        </w:rPr>
        <w:t>工作的要求</w:t>
      </w:r>
      <w:r>
        <w:rPr>
          <w:rFonts w:ascii="Times New Roman" w:eastAsia="宋体" w:hAnsi="Times New Roman" w:cs="Times New Roman" w:hint="eastAsia"/>
          <w:sz w:val="24"/>
          <w:szCs w:val="24"/>
        </w:rPr>
        <w:t>，</w:t>
      </w:r>
      <w:r>
        <w:rPr>
          <w:rFonts w:ascii="Times New Roman" w:eastAsia="宋体" w:hAnsi="Times New Roman" w:cs="Times New Roman"/>
          <w:sz w:val="24"/>
          <w:szCs w:val="24"/>
        </w:rPr>
        <w:t>选择比较法、公众评判法、统计计算法、实地考察法等方法进行绩效评价分析，并对收集的统计资料进行分析研究。</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）比较法。是指通过对绩效目标与实际实施效果的对比，对年度绩效指标完成情况进行比较，综合分析绩效目标实现程度，项目小组根据收集的项目资料和实地观察，了解项目支出的实际情况，与</w:t>
      </w:r>
      <w:r>
        <w:rPr>
          <w:rFonts w:ascii="Times New Roman" w:eastAsia="宋体" w:hAnsi="Times New Roman" w:cs="Times New Roman" w:hint="eastAsia"/>
          <w:sz w:val="24"/>
          <w:szCs w:val="24"/>
        </w:rPr>
        <w:t>西青区卫健委</w:t>
      </w:r>
      <w:r>
        <w:rPr>
          <w:rFonts w:ascii="Times New Roman" w:eastAsia="宋体" w:hAnsi="Times New Roman" w:cs="Times New Roman"/>
          <w:sz w:val="24"/>
          <w:szCs w:val="24"/>
        </w:rPr>
        <w:t>项目支出申报时确定的绩效目标进行对比，评价绩效目标的实现程度；同时项目小组收集</w:t>
      </w:r>
      <w:r>
        <w:rPr>
          <w:rFonts w:ascii="Times New Roman" w:eastAsia="宋体" w:hAnsi="Times New Roman" w:cs="Times New Roman" w:hint="eastAsia"/>
          <w:sz w:val="24"/>
          <w:szCs w:val="24"/>
        </w:rPr>
        <w:t>西青区卫健委</w:t>
      </w:r>
      <w:r>
        <w:rPr>
          <w:rFonts w:ascii="Times New Roman" w:eastAsia="宋体" w:hAnsi="Times New Roman" w:cs="Times New Roman"/>
          <w:sz w:val="24"/>
          <w:szCs w:val="24"/>
        </w:rPr>
        <w:t>绩效指标数据，分析其绩效指标完成情况并进行比较，评价其绩效指标目标实现程度。</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）公众评判法。是指通过抽样调查等对财政支出效果进行评判，评价绩效目标实现程度，项目小组将对参与的管理部门和具体实施单位进行访谈，同时</w:t>
      </w:r>
      <w:r>
        <w:rPr>
          <w:rFonts w:ascii="Times New Roman" w:eastAsia="宋体" w:hAnsi="Times New Roman" w:cs="Times New Roman" w:hint="eastAsia"/>
          <w:sz w:val="24"/>
          <w:szCs w:val="24"/>
        </w:rPr>
        <w:t>收集</w:t>
      </w:r>
      <w:r>
        <w:rPr>
          <w:rFonts w:ascii="Times New Roman" w:eastAsia="宋体" w:hAnsi="Times New Roman" w:cs="Times New Roman"/>
          <w:sz w:val="24"/>
          <w:szCs w:val="24"/>
        </w:rPr>
        <w:t>常住居民等相关受益人</w:t>
      </w:r>
      <w:r>
        <w:rPr>
          <w:rFonts w:ascii="Times New Roman" w:eastAsia="宋体" w:hAnsi="Times New Roman" w:cs="Times New Roman" w:hint="eastAsia"/>
          <w:sz w:val="24"/>
          <w:szCs w:val="24"/>
        </w:rPr>
        <w:t>的投诉情况</w:t>
      </w:r>
      <w:r>
        <w:rPr>
          <w:rFonts w:ascii="Times New Roman" w:eastAsia="宋体" w:hAnsi="Times New Roman" w:cs="Times New Roman"/>
          <w:sz w:val="24"/>
          <w:szCs w:val="24"/>
        </w:rPr>
        <w:t>，收集项目具体实施情况和效果的相关证据，为绩效分析结论提供有力支撑。</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统计计算法。是指采用各种专业（或专门）指标的计算方法，通过收集项目实施的相关数据，采用统计或核算等方式计算实际完成或达到的结果，评价绩效目标实现程度，项目小组根据相关文件依据，设计符合项目特点的评价指标体系，然后采集数据按照计算公式进行计算分析，并根据计算结果分析项目的绩效目标实现程度。</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实地考察。是指前往具体实施地进行考察，了解项目实施的实际情况，评价其绩效目标实现程度。评价小组将前往项目具体实施地，进行现场访谈，核实各项目实际实施情况，与收集的资料进行验证核对，并拍照留痕。</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2.3</w:t>
      </w:r>
      <w:r>
        <w:rPr>
          <w:rFonts w:ascii="Times New Roman" w:eastAsia="宋体" w:hAnsi="Times New Roman" w:cs="Times New Roman"/>
          <w:sz w:val="24"/>
          <w:szCs w:val="24"/>
        </w:rPr>
        <w:t>证据收集方法</w:t>
      </w:r>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绩效评价项目小组采取深入项目实施单位访谈、查阅相关资料、核查财务凭证等证据收集方法，并获取准确可靠的数据信息，同时</w:t>
      </w:r>
      <w:r>
        <w:rPr>
          <w:rFonts w:ascii="Times New Roman" w:eastAsia="宋体" w:hAnsi="Times New Roman" w:cs="Times New Roman" w:hint="eastAsia"/>
          <w:sz w:val="24"/>
          <w:szCs w:val="24"/>
        </w:rPr>
        <w:t>收集</w:t>
      </w:r>
      <w:r>
        <w:rPr>
          <w:rFonts w:ascii="Times New Roman" w:eastAsia="宋体" w:hAnsi="Times New Roman" w:cs="Times New Roman"/>
          <w:sz w:val="24"/>
          <w:szCs w:val="24"/>
        </w:rPr>
        <w:t>项目受益群众</w:t>
      </w:r>
      <w:r>
        <w:rPr>
          <w:rFonts w:ascii="Times New Roman" w:eastAsia="宋体" w:hAnsi="Times New Roman" w:cs="Times New Roman" w:hint="eastAsia"/>
          <w:sz w:val="24"/>
          <w:szCs w:val="24"/>
        </w:rPr>
        <w:t>的投诉数据</w:t>
      </w:r>
      <w:r>
        <w:rPr>
          <w:rFonts w:ascii="Times New Roman" w:eastAsia="宋体" w:hAnsi="Times New Roman" w:cs="Times New Roman"/>
          <w:sz w:val="24"/>
          <w:szCs w:val="24"/>
        </w:rPr>
        <w:t>，收集绩效评价所需的基础性资料。</w:t>
      </w:r>
      <w:r>
        <w:rPr>
          <w:rFonts w:ascii="Times New Roman" w:eastAsia="宋体" w:hAnsi="Times New Roman" w:cs="Times New Roman"/>
          <w:sz w:val="24"/>
          <w:szCs w:val="24"/>
        </w:rPr>
        <w:t xml:space="preserve">       </w:t>
      </w:r>
    </w:p>
    <w:p w:rsidR="00D23886" w:rsidRDefault="007B2FA1">
      <w:pPr>
        <w:pStyle w:val="3"/>
        <w:ind w:left="630"/>
        <w:rPr>
          <w:rFonts w:ascii="Times New Roman" w:eastAsia="宋体" w:hAnsi="Times New Roman" w:cs="Times New Roman"/>
          <w:sz w:val="24"/>
          <w:szCs w:val="24"/>
        </w:rPr>
      </w:pPr>
      <w:bookmarkStart w:id="30" w:name="_Toc85135183"/>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绩效评价指标的设计</w:t>
      </w:r>
      <w:bookmarkEnd w:id="30"/>
    </w:p>
    <w:p w:rsidR="00D23886" w:rsidRDefault="007B2FA1">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依据绩效评价原理和原则，运用逻辑分析法，结合项目绩效目标和特点，设计本项目绩效评价指标体系。</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评价小组按照逻辑分析法设计评价指标体系，依据</w:t>
      </w:r>
      <w:r>
        <w:rPr>
          <w:rFonts w:ascii="Times New Roman" w:eastAsia="宋体" w:hAnsi="Times New Roman" w:cs="Times New Roman"/>
          <w:sz w:val="24"/>
          <w:szCs w:val="24"/>
        </w:rPr>
        <w:t>“</w:t>
      </w:r>
      <w:r>
        <w:rPr>
          <w:rFonts w:ascii="Times New Roman" w:eastAsia="宋体" w:hAnsi="Times New Roman" w:cs="Times New Roman"/>
          <w:sz w:val="24"/>
          <w:szCs w:val="24"/>
        </w:rPr>
        <w:t>投入</w:t>
      </w:r>
      <w:r>
        <w:rPr>
          <w:rFonts w:ascii="Times New Roman" w:eastAsia="宋体" w:hAnsi="Times New Roman" w:cs="Times New Roman"/>
          <w:sz w:val="24"/>
          <w:szCs w:val="24"/>
        </w:rPr>
        <w:t>-</w:t>
      </w:r>
      <w:r>
        <w:rPr>
          <w:rFonts w:ascii="Times New Roman" w:eastAsia="宋体" w:hAnsi="Times New Roman" w:cs="Times New Roman"/>
          <w:sz w:val="24"/>
          <w:szCs w:val="24"/>
        </w:rPr>
        <w:t>产出</w:t>
      </w:r>
      <w:r>
        <w:rPr>
          <w:rFonts w:ascii="Times New Roman" w:eastAsia="宋体" w:hAnsi="Times New Roman" w:cs="Times New Roman"/>
          <w:sz w:val="24"/>
          <w:szCs w:val="24"/>
        </w:rPr>
        <w:t>-</w:t>
      </w:r>
      <w:r>
        <w:rPr>
          <w:rFonts w:ascii="Times New Roman" w:eastAsia="宋体" w:hAnsi="Times New Roman" w:cs="Times New Roman"/>
          <w:sz w:val="24"/>
          <w:szCs w:val="24"/>
        </w:rPr>
        <w:t>效果</w:t>
      </w:r>
      <w:r>
        <w:rPr>
          <w:rFonts w:ascii="Times New Roman" w:eastAsia="宋体" w:hAnsi="Times New Roman" w:cs="Times New Roman"/>
          <w:sz w:val="24"/>
          <w:szCs w:val="24"/>
        </w:rPr>
        <w:t>”</w:t>
      </w:r>
      <w:r>
        <w:rPr>
          <w:rFonts w:ascii="Times New Roman" w:eastAsia="宋体" w:hAnsi="Times New Roman" w:cs="Times New Roman"/>
          <w:sz w:val="24"/>
          <w:szCs w:val="24"/>
        </w:rPr>
        <w:t>的逻辑路径，围绕</w:t>
      </w:r>
      <w:r>
        <w:rPr>
          <w:rFonts w:ascii="Times New Roman" w:eastAsia="宋体" w:hAnsi="Times New Roman" w:cs="Times New Roman" w:hint="eastAsia"/>
          <w:sz w:val="24"/>
          <w:szCs w:val="24"/>
        </w:rPr>
        <w:t>筑底项目</w:t>
      </w:r>
      <w:r>
        <w:rPr>
          <w:rFonts w:ascii="Times New Roman" w:eastAsia="宋体" w:hAnsi="Times New Roman" w:cs="Times New Roman"/>
          <w:sz w:val="24"/>
          <w:szCs w:val="24"/>
        </w:rPr>
        <w:t>资金投入、财务管理和实施管理方面的投入情况，结合该项目的绩效目标，客观分析项目产出、效益和受益群众的满意情况。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评价小组从项目决策、项目</w:t>
      </w:r>
      <w:r>
        <w:rPr>
          <w:rFonts w:ascii="Times New Roman" w:eastAsia="宋体" w:hAnsi="Times New Roman" w:cs="Times New Roman" w:hint="eastAsia"/>
          <w:sz w:val="24"/>
          <w:szCs w:val="24"/>
        </w:rPr>
        <w:t>过程</w:t>
      </w:r>
      <w:r>
        <w:rPr>
          <w:rFonts w:ascii="Times New Roman" w:eastAsia="宋体" w:hAnsi="Times New Roman" w:cs="Times New Roman"/>
          <w:sz w:val="24"/>
          <w:szCs w:val="24"/>
        </w:rPr>
        <w:t>、</w:t>
      </w:r>
      <w:r>
        <w:rPr>
          <w:rFonts w:ascii="Times New Roman" w:eastAsia="宋体" w:hAnsi="Times New Roman" w:cs="Times New Roman" w:hint="eastAsia"/>
          <w:sz w:val="24"/>
          <w:szCs w:val="24"/>
        </w:rPr>
        <w:t>项目产出、</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效益四</w:t>
      </w:r>
      <w:r>
        <w:rPr>
          <w:rFonts w:ascii="Times New Roman" w:eastAsia="宋体" w:hAnsi="Times New Roman" w:cs="Times New Roman"/>
          <w:sz w:val="24"/>
          <w:szCs w:val="24"/>
        </w:rPr>
        <w:t>个维度入手，具体思路如下：</w:t>
      </w:r>
    </w:p>
    <w:p w:rsidR="00D23886" w:rsidRDefault="007B2FA1">
      <w:pPr>
        <w:pStyle w:val="ac"/>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）项目决策部分针对项目立项依据及流程的充分性、规范性进行考核</w:t>
      </w:r>
      <w:r>
        <w:rPr>
          <w:rFonts w:ascii="Times New Roman" w:eastAsia="宋体" w:hAnsi="Times New Roman" w:cs="Times New Roman" w:hint="eastAsia"/>
          <w:sz w:val="24"/>
          <w:szCs w:val="24"/>
        </w:rPr>
        <w:t>，评价绩效目标的明确性与合理性；规划数量的合理性；预算编制的合规性、合理性、客观性</w:t>
      </w:r>
      <w:r>
        <w:rPr>
          <w:rFonts w:ascii="Times New Roman" w:eastAsia="宋体" w:hAnsi="Times New Roman" w:cs="Times New Roman"/>
          <w:sz w:val="24"/>
          <w:szCs w:val="24"/>
        </w:rPr>
        <w:t>；</w:t>
      </w:r>
    </w:p>
    <w:p w:rsidR="00D23886" w:rsidRDefault="007B2FA1">
      <w:pPr>
        <w:pStyle w:val="ac"/>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过程</w:t>
      </w:r>
      <w:r>
        <w:rPr>
          <w:rFonts w:ascii="Times New Roman" w:eastAsia="宋体" w:hAnsi="Times New Roman" w:cs="Times New Roman"/>
          <w:sz w:val="24"/>
          <w:szCs w:val="24"/>
        </w:rPr>
        <w:t>部分针对</w:t>
      </w:r>
      <w:r>
        <w:rPr>
          <w:rFonts w:ascii="Times New Roman" w:eastAsia="宋体" w:hAnsi="Times New Roman" w:cs="Times New Roman" w:hint="eastAsia"/>
          <w:sz w:val="24"/>
          <w:szCs w:val="24"/>
        </w:rPr>
        <w:t>组织实施、资金管理</w:t>
      </w:r>
      <w:r>
        <w:rPr>
          <w:rFonts w:ascii="Times New Roman" w:eastAsia="宋体" w:hAnsi="Times New Roman" w:cs="Times New Roman"/>
          <w:sz w:val="24"/>
          <w:szCs w:val="24"/>
        </w:rPr>
        <w:t>进行考核；</w:t>
      </w:r>
    </w:p>
    <w:p w:rsidR="00D23886" w:rsidRDefault="007B2FA1">
      <w:pPr>
        <w:pStyle w:val="ac"/>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产出</w:t>
      </w:r>
      <w:r>
        <w:rPr>
          <w:rFonts w:ascii="Times New Roman" w:eastAsia="宋体" w:hAnsi="Times New Roman" w:cs="Times New Roman"/>
          <w:sz w:val="24"/>
          <w:szCs w:val="24"/>
        </w:rPr>
        <w:t>部分从项目</w:t>
      </w:r>
      <w:r>
        <w:rPr>
          <w:rFonts w:ascii="Times New Roman" w:eastAsia="宋体" w:hAnsi="Times New Roman" w:cs="Times New Roman" w:hint="eastAsia"/>
          <w:sz w:val="24"/>
          <w:szCs w:val="24"/>
        </w:rPr>
        <w:t>产出质量及产出时效两</w:t>
      </w:r>
      <w:r>
        <w:rPr>
          <w:rFonts w:ascii="Times New Roman" w:eastAsia="宋体" w:hAnsi="Times New Roman" w:cs="Times New Roman"/>
          <w:sz w:val="24"/>
          <w:szCs w:val="24"/>
        </w:rPr>
        <w:t>个角度进行考核</w:t>
      </w:r>
      <w:r>
        <w:rPr>
          <w:rFonts w:ascii="Times New Roman" w:eastAsia="宋体" w:hAnsi="Times New Roman" w:cs="Times New Roman" w:hint="eastAsia"/>
          <w:sz w:val="24"/>
          <w:szCs w:val="24"/>
        </w:rPr>
        <w:t>；</w:t>
      </w:r>
    </w:p>
    <w:p w:rsidR="00D23886" w:rsidRDefault="007B2FA1">
      <w:pPr>
        <w:pStyle w:val="ac"/>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效益部分主要评价项目经济效益、社会效益及可持续影响，同时关注各利益相关方的满意程度。</w:t>
      </w:r>
    </w:p>
    <w:p w:rsidR="00D23886" w:rsidRDefault="007B2FA1">
      <w:pPr>
        <w:pStyle w:val="2"/>
        <w:snapToGrid w:val="0"/>
        <w:ind w:left="420"/>
        <w:rPr>
          <w:rFonts w:ascii="Times New Roman" w:eastAsia="宋体" w:hAnsi="Times New Roman"/>
          <w:sz w:val="24"/>
          <w:szCs w:val="24"/>
          <w:u w:color="000000"/>
          <w:lang w:val="zh-TW" w:eastAsia="zh-TW"/>
        </w:rPr>
      </w:pPr>
      <w:bookmarkStart w:id="31" w:name="_Toc497174789"/>
      <w:bookmarkStart w:id="32" w:name="_Toc85135184"/>
      <w:r>
        <w:rPr>
          <w:rFonts w:ascii="Times New Roman" w:eastAsia="宋体" w:hAnsi="Times New Roman"/>
          <w:sz w:val="24"/>
          <w:szCs w:val="24"/>
          <w:u w:color="000000"/>
          <w:lang w:val="zh-TW" w:eastAsia="zh-TW"/>
        </w:rPr>
        <w:t>（四）绩效评价实施过程</w:t>
      </w:r>
      <w:bookmarkEnd w:id="31"/>
      <w:bookmarkEnd w:id="32"/>
    </w:p>
    <w:p w:rsidR="00D23886" w:rsidRDefault="007B2FA1">
      <w:pPr>
        <w:snapToGrid w:val="0"/>
        <w:spacing w:line="360" w:lineRule="auto"/>
        <w:ind w:firstLineChars="253" w:firstLine="607"/>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项目绩效评价自</w:t>
      </w:r>
      <w:r>
        <w:rPr>
          <w:rFonts w:ascii="Times New Roman" w:eastAsia="宋体" w:hAnsi="Times New Roman" w:cs="Times New Roman"/>
          <w:sz w:val="24"/>
          <w:szCs w:val="24"/>
          <w:lang w:eastAsia="zh-TW"/>
        </w:rPr>
        <w:t>2022</w:t>
      </w:r>
      <w:r>
        <w:rPr>
          <w:rFonts w:ascii="Times New Roman" w:eastAsia="宋体" w:hAnsi="Times New Roman" w:cs="Times New Roman"/>
          <w:sz w:val="24"/>
          <w:szCs w:val="24"/>
          <w:lang w:eastAsia="zh-TW"/>
        </w:rPr>
        <w:t>年</w:t>
      </w:r>
      <w:r>
        <w:rPr>
          <w:rFonts w:ascii="Times New Roman" w:eastAsia="宋体" w:hAnsi="Times New Roman" w:cs="Times New Roman"/>
          <w:sz w:val="24"/>
          <w:szCs w:val="24"/>
          <w:lang w:eastAsia="zh-TW"/>
        </w:rPr>
        <w:t>5</w:t>
      </w:r>
      <w:r>
        <w:rPr>
          <w:rFonts w:ascii="Times New Roman" w:eastAsia="宋体" w:hAnsi="Times New Roman" w:cs="Times New Roman"/>
          <w:sz w:val="24"/>
          <w:szCs w:val="24"/>
          <w:lang w:eastAsia="zh-TW"/>
        </w:rPr>
        <w:t>月</w:t>
      </w:r>
      <w:r>
        <w:rPr>
          <w:rFonts w:ascii="Times New Roman" w:eastAsia="宋体" w:hAnsi="Times New Roman" w:cs="Times New Roman" w:hint="eastAsia"/>
          <w:sz w:val="24"/>
          <w:szCs w:val="24"/>
        </w:rPr>
        <w:t>25</w:t>
      </w:r>
      <w:r>
        <w:rPr>
          <w:rFonts w:ascii="Times New Roman" w:eastAsia="宋体" w:hAnsi="Times New Roman" w:cs="Times New Roman"/>
          <w:sz w:val="24"/>
          <w:szCs w:val="24"/>
          <w:lang w:eastAsia="zh-TW"/>
        </w:rPr>
        <w:t>日启动，评价小组通过调研、对相关文件的解读，根据绩效评价的基本原理、原则和项目特点，结合绩效目标，确定评价指标体系、评分标准、评价方法及相关的工作程序和步骤。评价小组严格按照工作方案，通过数据采集、</w:t>
      </w:r>
      <w:r>
        <w:rPr>
          <w:rFonts w:ascii="Times New Roman" w:eastAsia="宋体" w:hAnsi="Times New Roman" w:cs="Times New Roman" w:hint="eastAsia"/>
          <w:sz w:val="24"/>
          <w:szCs w:val="24"/>
        </w:rPr>
        <w:t>实地考察、</w:t>
      </w:r>
      <w:r>
        <w:rPr>
          <w:rFonts w:ascii="Times New Roman" w:eastAsia="宋体" w:hAnsi="Times New Roman" w:cs="Times New Roman"/>
          <w:sz w:val="24"/>
          <w:szCs w:val="24"/>
          <w:lang w:eastAsia="zh-TW"/>
        </w:rPr>
        <w:t>访谈、数据分析和报告撰写等环节，顺利完成了绩效评价报告工作。具体实施过程如下：</w:t>
      </w:r>
    </w:p>
    <w:p w:rsidR="00D23886" w:rsidRDefault="007B2FA1">
      <w:pPr>
        <w:numPr>
          <w:ilvl w:val="0"/>
          <w:numId w:val="1"/>
        </w:numPr>
        <w:snapToGrid w:val="0"/>
        <w:spacing w:line="360" w:lineRule="auto"/>
        <w:ind w:firstLine="607"/>
        <w:rPr>
          <w:rFonts w:ascii="Times New Roman" w:eastAsia="宋体" w:hAnsi="Times New Roman" w:cs="Times New Roman"/>
          <w:sz w:val="24"/>
          <w:szCs w:val="24"/>
          <w:lang w:eastAsia="zh-TW"/>
        </w:rPr>
      </w:pPr>
      <w:r>
        <w:rPr>
          <w:rFonts w:ascii="Times New Roman" w:eastAsia="宋体" w:hAnsi="Times New Roman" w:cs="Times New Roman" w:hint="eastAsia"/>
          <w:sz w:val="24"/>
          <w:szCs w:val="24"/>
          <w:lang w:eastAsia="zh-TW"/>
        </w:rPr>
        <w:t>了解项目基本情况</w:t>
      </w:r>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25</w:t>
      </w:r>
      <w:r>
        <w:rPr>
          <w:rFonts w:ascii="Times New Roman" w:eastAsia="宋体" w:hAnsi="Times New Roman" w:cs="Times New Roman" w:hint="eastAsia"/>
          <w:sz w:val="24"/>
          <w:szCs w:val="24"/>
        </w:rPr>
        <w:t>日至</w:t>
      </w:r>
      <w:r>
        <w:rPr>
          <w:rFonts w:ascii="Times New Roman" w:eastAsia="宋体" w:hAnsi="Times New Roman" w:cs="Times New Roman" w:hint="eastAsia"/>
          <w:sz w:val="24"/>
          <w:szCs w:val="24"/>
          <w:lang w:eastAsia="zh-TW"/>
        </w:rPr>
        <w:t>5</w:t>
      </w:r>
      <w:r>
        <w:rPr>
          <w:rFonts w:ascii="Times New Roman" w:eastAsia="宋体" w:hAnsi="Times New Roman" w:cs="Times New Roman"/>
          <w:sz w:val="24"/>
          <w:szCs w:val="24"/>
          <w:lang w:eastAsia="zh-TW"/>
        </w:rPr>
        <w:t>月</w:t>
      </w:r>
      <w:r>
        <w:rPr>
          <w:rFonts w:ascii="Times New Roman" w:eastAsia="宋体" w:hAnsi="Times New Roman" w:cs="Times New Roman" w:hint="eastAsia"/>
          <w:sz w:val="24"/>
          <w:szCs w:val="24"/>
        </w:rPr>
        <w:t>31</w:t>
      </w:r>
      <w:r>
        <w:rPr>
          <w:rFonts w:ascii="Times New Roman" w:eastAsia="宋体" w:hAnsi="Times New Roman" w:cs="Times New Roman"/>
          <w:sz w:val="24"/>
          <w:szCs w:val="24"/>
          <w:lang w:eastAsia="zh-TW"/>
        </w:rPr>
        <w:t>日</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充分了解评估对象的具体情况，以识别重要评估事项、履行评估责任和实现评估目标，</w:t>
      </w:r>
      <w:r>
        <w:rPr>
          <w:rFonts w:ascii="Times New Roman" w:eastAsia="宋体" w:hAnsi="Times New Roman" w:cs="Times New Roman" w:hint="eastAsia"/>
          <w:sz w:val="24"/>
          <w:szCs w:val="24"/>
          <w:lang w:eastAsia="zh-TW"/>
        </w:rPr>
        <w:t>与</w:t>
      </w:r>
      <w:r>
        <w:rPr>
          <w:rFonts w:ascii="Times New Roman" w:eastAsia="宋体" w:hAnsi="Times New Roman" w:cs="Times New Roman"/>
          <w:sz w:val="24"/>
          <w:szCs w:val="24"/>
          <w:lang w:eastAsia="zh-TW"/>
        </w:rPr>
        <w:t>财政部门、项目单位</w:t>
      </w:r>
      <w:r>
        <w:rPr>
          <w:rFonts w:ascii="Times New Roman" w:eastAsia="宋体" w:hAnsi="Times New Roman" w:cs="Times New Roman" w:hint="eastAsia"/>
          <w:sz w:val="24"/>
          <w:szCs w:val="24"/>
          <w:lang w:eastAsia="zh-TW"/>
        </w:rPr>
        <w:t>沟通，</w:t>
      </w:r>
      <w:r>
        <w:rPr>
          <w:rFonts w:ascii="Times New Roman" w:eastAsia="宋体" w:hAnsi="Times New Roman" w:cs="Times New Roman"/>
          <w:sz w:val="24"/>
          <w:szCs w:val="24"/>
          <w:lang w:eastAsia="zh-TW"/>
        </w:rPr>
        <w:t>了解政策文件和项目内容</w:t>
      </w:r>
      <w:r>
        <w:rPr>
          <w:rFonts w:ascii="Times New Roman" w:eastAsia="宋体" w:hAnsi="Times New Roman" w:cs="Times New Roman" w:hint="eastAsia"/>
          <w:sz w:val="24"/>
          <w:szCs w:val="24"/>
          <w:lang w:eastAsia="zh-TW"/>
        </w:rPr>
        <w:t>。</w:t>
      </w:r>
    </w:p>
    <w:p w:rsidR="00D23886" w:rsidRDefault="007B2FA1">
      <w:pPr>
        <w:numPr>
          <w:ilvl w:val="0"/>
          <w:numId w:val="1"/>
        </w:numPr>
        <w:snapToGrid w:val="0"/>
        <w:spacing w:line="360" w:lineRule="auto"/>
        <w:ind w:firstLine="607"/>
        <w:rPr>
          <w:rFonts w:ascii="Times New Roman" w:eastAsia="宋体" w:hAnsi="Times New Roman" w:cs="Times New Roman"/>
          <w:sz w:val="24"/>
          <w:szCs w:val="24"/>
        </w:rPr>
      </w:pPr>
      <w:r>
        <w:rPr>
          <w:rFonts w:ascii="Times New Roman" w:eastAsia="宋体" w:hAnsi="Times New Roman" w:cs="Times New Roman"/>
          <w:sz w:val="24"/>
          <w:szCs w:val="24"/>
          <w:lang w:eastAsia="zh-TW"/>
        </w:rPr>
        <w:t>制定工作方案</w:t>
      </w:r>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日至</w:t>
      </w:r>
      <w:r>
        <w:rPr>
          <w:rFonts w:ascii="Times New Roman" w:eastAsia="宋体" w:hAnsi="Times New Roman" w:cs="Times New Roman" w:hint="eastAsia"/>
          <w:sz w:val="24"/>
          <w:szCs w:val="24"/>
        </w:rPr>
        <w:t>6</w:t>
      </w:r>
      <w:r>
        <w:rPr>
          <w:rFonts w:ascii="Times New Roman" w:eastAsia="宋体" w:hAnsi="Times New Roman" w:cs="Times New Roman"/>
          <w:sz w:val="24"/>
          <w:szCs w:val="24"/>
          <w:lang w:eastAsia="zh-TW"/>
        </w:rPr>
        <w:t>月</w:t>
      </w:r>
      <w:r>
        <w:rPr>
          <w:rFonts w:ascii="Times New Roman" w:eastAsia="宋体" w:hAnsi="Times New Roman" w:cs="Times New Roman" w:hint="eastAsia"/>
          <w:sz w:val="24"/>
          <w:szCs w:val="24"/>
        </w:rPr>
        <w:t>10</w:t>
      </w:r>
      <w:r>
        <w:rPr>
          <w:rFonts w:ascii="Times New Roman" w:eastAsia="宋体" w:hAnsi="Times New Roman" w:cs="Times New Roman"/>
          <w:sz w:val="24"/>
          <w:szCs w:val="24"/>
          <w:lang w:eastAsia="zh-TW"/>
        </w:rPr>
        <w:t>日</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组建专家组</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根据项目情况，编制事后绩效评估工作方案。工作方案包括：项目概况（包括背景、范围、规模、预算编制情况、项目的组织管理、绩效目标）、评估的对象及范围、评估思路及方法、评估指标体系、数据采集及社会调查方案、评估工作人员安排和进度计划等。同时，确定专家组组长并及时将专家组名单报送</w:t>
      </w:r>
      <w:r>
        <w:rPr>
          <w:rFonts w:ascii="Times New Roman" w:eastAsia="宋体" w:hAnsi="Times New Roman" w:cs="Times New Roman" w:hint="eastAsia"/>
          <w:sz w:val="24"/>
          <w:szCs w:val="24"/>
        </w:rPr>
        <w:t>区</w:t>
      </w:r>
      <w:r>
        <w:rPr>
          <w:rFonts w:ascii="Times New Roman" w:eastAsia="宋体" w:hAnsi="Times New Roman" w:cs="Times New Roman"/>
          <w:sz w:val="24"/>
          <w:szCs w:val="24"/>
          <w:lang w:eastAsia="zh-TW"/>
        </w:rPr>
        <w:t>财政局审核。</w:t>
      </w:r>
    </w:p>
    <w:p w:rsidR="00D23886" w:rsidRDefault="007B2FA1">
      <w:pPr>
        <w:numPr>
          <w:ilvl w:val="0"/>
          <w:numId w:val="1"/>
        </w:numPr>
        <w:snapToGrid w:val="0"/>
        <w:spacing w:line="360" w:lineRule="auto"/>
        <w:ind w:firstLine="607"/>
        <w:rPr>
          <w:rFonts w:ascii="Times New Roman" w:eastAsia="宋体" w:hAnsi="Times New Roman" w:cs="Times New Roman"/>
          <w:sz w:val="24"/>
          <w:szCs w:val="24"/>
        </w:rPr>
      </w:pPr>
      <w:r>
        <w:rPr>
          <w:rFonts w:ascii="Times New Roman" w:eastAsia="宋体" w:hAnsi="Times New Roman" w:cs="Times New Roman"/>
          <w:sz w:val="24"/>
          <w:szCs w:val="24"/>
          <w:lang w:eastAsia="zh-TW"/>
        </w:rPr>
        <w:t>进行预评估</w:t>
      </w:r>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11</w:t>
      </w:r>
      <w:r>
        <w:rPr>
          <w:rFonts w:ascii="Times New Roman" w:eastAsia="宋体" w:hAnsi="Times New Roman" w:cs="Times New Roman" w:hint="eastAsia"/>
          <w:sz w:val="24"/>
          <w:szCs w:val="24"/>
        </w:rPr>
        <w:t>日至</w:t>
      </w:r>
      <w:r>
        <w:rPr>
          <w:rFonts w:ascii="Times New Roman" w:eastAsia="宋体" w:hAnsi="Times New Roman" w:cs="Times New Roman" w:hint="eastAsia"/>
          <w:sz w:val="24"/>
          <w:szCs w:val="24"/>
          <w:lang w:eastAsia="zh-TW"/>
        </w:rPr>
        <w:t>6</w:t>
      </w:r>
      <w:r>
        <w:rPr>
          <w:rFonts w:ascii="Times New Roman" w:eastAsia="宋体" w:hAnsi="Times New Roman" w:cs="Times New Roman"/>
          <w:sz w:val="24"/>
          <w:szCs w:val="24"/>
          <w:lang w:eastAsia="zh-TW"/>
        </w:rPr>
        <w:t>月</w:t>
      </w:r>
      <w:r>
        <w:rPr>
          <w:rFonts w:ascii="Times New Roman" w:eastAsia="宋体" w:hAnsi="Times New Roman" w:cs="Times New Roman" w:hint="eastAsia"/>
          <w:sz w:val="24"/>
          <w:szCs w:val="24"/>
        </w:rPr>
        <w:t>20</w:t>
      </w:r>
      <w:r>
        <w:rPr>
          <w:rFonts w:ascii="Times New Roman" w:eastAsia="宋体" w:hAnsi="Times New Roman" w:cs="Times New Roman"/>
          <w:sz w:val="24"/>
          <w:szCs w:val="24"/>
          <w:lang w:eastAsia="zh-TW"/>
        </w:rPr>
        <w:t>日</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根据项目单位报送的资料，评估工作组摘录、汇总、分析项目数据，完成预评估工作。到项目现场进行调研，查看项目的实施进度和具体内容。</w:t>
      </w:r>
    </w:p>
    <w:p w:rsidR="00D23886" w:rsidRDefault="007B2FA1">
      <w:pPr>
        <w:numPr>
          <w:ilvl w:val="0"/>
          <w:numId w:val="1"/>
        </w:numPr>
        <w:snapToGrid w:val="0"/>
        <w:spacing w:line="360" w:lineRule="auto"/>
        <w:ind w:firstLine="607"/>
        <w:rPr>
          <w:rFonts w:ascii="Times New Roman" w:eastAsia="宋体" w:hAnsi="Times New Roman" w:cs="Times New Roman"/>
          <w:sz w:val="24"/>
          <w:szCs w:val="24"/>
        </w:rPr>
      </w:pPr>
      <w:r>
        <w:rPr>
          <w:rFonts w:ascii="Times New Roman" w:eastAsia="宋体" w:hAnsi="Times New Roman" w:cs="Times New Roman"/>
          <w:sz w:val="24"/>
          <w:szCs w:val="24"/>
          <w:lang w:eastAsia="zh-TW"/>
        </w:rPr>
        <w:t>专家评估</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0"/>
        <w:rPr>
          <w:rFonts w:eastAsia="宋体"/>
        </w:rPr>
      </w:pP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20</w:t>
      </w:r>
      <w:r>
        <w:rPr>
          <w:rFonts w:ascii="Times New Roman" w:eastAsia="宋体" w:hAnsi="Times New Roman" w:cs="Times New Roman" w:hint="eastAsia"/>
          <w:sz w:val="24"/>
          <w:szCs w:val="24"/>
        </w:rPr>
        <w:t>日至</w:t>
      </w:r>
      <w:r>
        <w:rPr>
          <w:rFonts w:ascii="Times New Roman" w:eastAsia="宋体" w:hAnsi="Times New Roman" w:cs="Times New Roman" w:hint="eastAsia"/>
          <w:sz w:val="24"/>
          <w:szCs w:val="24"/>
          <w:lang w:eastAsia="zh-TW"/>
        </w:rPr>
        <w:t>6</w:t>
      </w:r>
      <w:r>
        <w:rPr>
          <w:rFonts w:ascii="Times New Roman" w:eastAsia="宋体" w:hAnsi="Times New Roman" w:cs="Times New Roman"/>
          <w:sz w:val="24"/>
          <w:szCs w:val="24"/>
          <w:lang w:eastAsia="zh-TW"/>
        </w:rPr>
        <w:t>月</w:t>
      </w:r>
      <w:r>
        <w:rPr>
          <w:rFonts w:ascii="Times New Roman" w:eastAsia="宋体" w:hAnsi="Times New Roman" w:cs="Times New Roman" w:hint="eastAsia"/>
          <w:sz w:val="24"/>
          <w:szCs w:val="24"/>
        </w:rPr>
        <w:t>22</w:t>
      </w:r>
      <w:r>
        <w:rPr>
          <w:rFonts w:ascii="Times New Roman" w:eastAsia="宋体" w:hAnsi="Times New Roman" w:cs="Times New Roman"/>
          <w:sz w:val="24"/>
          <w:szCs w:val="24"/>
          <w:lang w:eastAsia="zh-TW"/>
        </w:rPr>
        <w:t>日</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评估工作组在全面了解项目预期绩效的基础上，</w:t>
      </w:r>
      <w:r>
        <w:rPr>
          <w:rFonts w:ascii="Times New Roman" w:eastAsia="宋体" w:hAnsi="Times New Roman" w:cs="Times New Roman" w:hint="eastAsia"/>
          <w:sz w:val="24"/>
          <w:szCs w:val="24"/>
          <w:lang w:eastAsia="zh-TW"/>
        </w:rPr>
        <w:t>组织</w:t>
      </w:r>
      <w:r>
        <w:rPr>
          <w:rFonts w:ascii="Times New Roman" w:eastAsia="宋体" w:hAnsi="Times New Roman" w:cs="Times New Roman"/>
          <w:sz w:val="24"/>
          <w:szCs w:val="24"/>
          <w:lang w:eastAsia="zh-TW"/>
        </w:rPr>
        <w:t>专家</w:t>
      </w:r>
      <w:r>
        <w:rPr>
          <w:rFonts w:ascii="Times New Roman" w:eastAsia="宋体" w:hAnsi="Times New Roman" w:cs="Times New Roman" w:hint="eastAsia"/>
          <w:sz w:val="24"/>
          <w:szCs w:val="24"/>
          <w:lang w:eastAsia="zh-TW"/>
        </w:rPr>
        <w:t>进行</w:t>
      </w:r>
      <w:r>
        <w:rPr>
          <w:rFonts w:ascii="Times New Roman" w:eastAsia="宋体" w:hAnsi="Times New Roman" w:cs="Times New Roman"/>
          <w:sz w:val="24"/>
          <w:szCs w:val="24"/>
          <w:lang w:eastAsia="zh-TW"/>
        </w:rPr>
        <w:t>评估。专家参照事后绩效评估指标体系，对立项必要性、投入经济性、绩效目标合理性、实施方案有效性和资金筹集合规性等内容进行评估</w:t>
      </w:r>
      <w:r>
        <w:rPr>
          <w:rFonts w:ascii="Times New Roman" w:eastAsia="宋体" w:hAnsi="Times New Roman" w:cs="Times New Roman" w:hint="eastAsia"/>
          <w:sz w:val="24"/>
          <w:szCs w:val="24"/>
          <w:lang w:eastAsia="zh-TW"/>
        </w:rPr>
        <w:t>，提出专家评估意见。</w:t>
      </w:r>
    </w:p>
    <w:p w:rsidR="00D23886" w:rsidRDefault="007B2FA1">
      <w:pPr>
        <w:numPr>
          <w:ilvl w:val="0"/>
          <w:numId w:val="1"/>
        </w:numPr>
        <w:snapToGrid w:val="0"/>
        <w:spacing w:line="360" w:lineRule="auto"/>
        <w:ind w:firstLine="607"/>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形成正式绩效评价报告</w:t>
      </w:r>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根据绩效评价的基本原理、原则和项目特点，</w:t>
      </w:r>
      <w:r>
        <w:rPr>
          <w:rFonts w:ascii="Times New Roman" w:eastAsia="宋体" w:hAnsi="Times New Roman" w:cs="Times New Roman" w:hint="eastAsia"/>
          <w:sz w:val="24"/>
          <w:szCs w:val="24"/>
        </w:rPr>
        <w:t>筑底</w:t>
      </w:r>
      <w:r>
        <w:rPr>
          <w:rFonts w:ascii="Times New Roman" w:eastAsia="宋体" w:hAnsi="Times New Roman" w:cs="Times New Roman" w:hint="eastAsia"/>
          <w:sz w:val="24"/>
          <w:szCs w:val="24"/>
          <w:lang w:eastAsia="zh-TW"/>
        </w:rPr>
        <w:t>项目</w:t>
      </w:r>
      <w:r>
        <w:rPr>
          <w:rFonts w:ascii="Times New Roman" w:eastAsia="宋体" w:hAnsi="Times New Roman" w:cs="Times New Roman"/>
          <w:sz w:val="24"/>
          <w:szCs w:val="24"/>
          <w:lang w:eastAsia="zh-TW"/>
        </w:rPr>
        <w:t>的绩效目标，评价小组设立科学、客观的绩效评价指标体系，对评价环节进行复核，确认评分的公正、准确性，形成报告终稿。</w:t>
      </w:r>
    </w:p>
    <w:p w:rsidR="00D23886" w:rsidRDefault="007B2FA1">
      <w:pPr>
        <w:pStyle w:val="2"/>
        <w:snapToGrid w:val="0"/>
        <w:ind w:left="420"/>
        <w:rPr>
          <w:rFonts w:ascii="Times New Roman" w:eastAsia="宋体" w:hAnsi="Times New Roman"/>
          <w:sz w:val="24"/>
          <w:szCs w:val="24"/>
        </w:rPr>
      </w:pPr>
      <w:bookmarkStart w:id="33" w:name="_Toc85135185"/>
      <w:r>
        <w:rPr>
          <w:rFonts w:ascii="Times New Roman" w:eastAsia="宋体" w:hAnsi="Times New Roman"/>
          <w:sz w:val="24"/>
          <w:szCs w:val="24"/>
          <w:u w:color="000000"/>
          <w:lang w:val="zh-TW" w:eastAsia="zh-TW"/>
        </w:rPr>
        <w:t>（五）</w:t>
      </w:r>
      <w:r>
        <w:rPr>
          <w:rFonts w:ascii="Times New Roman" w:eastAsia="宋体" w:hAnsi="Times New Roman"/>
          <w:sz w:val="24"/>
          <w:szCs w:val="24"/>
        </w:rPr>
        <w:t>绩效评价的局限性</w:t>
      </w:r>
      <w:bookmarkEnd w:id="33"/>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因为疫情，被评价单位工作人员多处于防疫一线，受</w:t>
      </w:r>
      <w:r>
        <w:rPr>
          <w:rFonts w:ascii="Times New Roman" w:eastAsia="宋体" w:hAnsi="Times New Roman" w:cs="Times New Roman"/>
          <w:sz w:val="24"/>
          <w:szCs w:val="24"/>
        </w:rPr>
        <w:t>本次评价项目</w:t>
      </w:r>
      <w:r>
        <w:rPr>
          <w:rFonts w:ascii="Times New Roman" w:eastAsia="宋体" w:hAnsi="Times New Roman" w:cs="Times New Roman" w:hint="eastAsia"/>
          <w:sz w:val="24"/>
          <w:szCs w:val="24"/>
        </w:rPr>
        <w:t>访谈</w:t>
      </w:r>
      <w:r>
        <w:rPr>
          <w:rFonts w:ascii="Times New Roman" w:eastAsia="宋体" w:hAnsi="Times New Roman" w:cs="Times New Roman"/>
          <w:sz w:val="24"/>
          <w:szCs w:val="24"/>
        </w:rPr>
        <w:t>人数</w:t>
      </w:r>
      <w:r>
        <w:rPr>
          <w:rFonts w:ascii="Times New Roman" w:eastAsia="宋体" w:hAnsi="Times New Roman" w:cs="Times New Roman" w:hint="eastAsia"/>
          <w:sz w:val="24"/>
          <w:szCs w:val="24"/>
        </w:rPr>
        <w:t>与时间限制</w:t>
      </w:r>
      <w:r>
        <w:rPr>
          <w:rFonts w:ascii="Times New Roman" w:eastAsia="宋体" w:hAnsi="Times New Roman" w:cs="Times New Roman"/>
          <w:sz w:val="24"/>
          <w:szCs w:val="24"/>
        </w:rPr>
        <w:t>，可能有了解不全面之处</w:t>
      </w:r>
      <w:r>
        <w:rPr>
          <w:rFonts w:ascii="Times New Roman" w:eastAsia="宋体" w:hAnsi="Times New Roman" w:cs="Times New Roman" w:hint="eastAsia"/>
          <w:sz w:val="24"/>
          <w:szCs w:val="24"/>
        </w:rPr>
        <w:t>，另外绩效评价人员在设计评价方案时，无法顾及项目所有方面及受益人群，故可能有个别情况未得到全面反映。</w:t>
      </w:r>
    </w:p>
    <w:p w:rsidR="00D23886" w:rsidRDefault="007B2FA1">
      <w:pPr>
        <w:pStyle w:val="1"/>
        <w:numPr>
          <w:ilvl w:val="0"/>
          <w:numId w:val="2"/>
        </w:numPr>
        <w:snapToGrid w:val="0"/>
        <w:ind w:left="420"/>
        <w:rPr>
          <w:rFonts w:ascii="Times New Roman" w:eastAsia="宋体" w:hAnsi="Times New Roman"/>
          <w:sz w:val="24"/>
          <w:szCs w:val="24"/>
        </w:rPr>
      </w:pPr>
      <w:bookmarkStart w:id="34" w:name="_Toc85135186"/>
      <w:r>
        <w:rPr>
          <w:rFonts w:ascii="Times New Roman" w:eastAsia="宋体" w:hAnsi="Times New Roman"/>
          <w:sz w:val="24"/>
          <w:szCs w:val="24"/>
        </w:rPr>
        <w:t>评价结论和绩效分析</w:t>
      </w:r>
      <w:bookmarkEnd w:id="34"/>
    </w:p>
    <w:p w:rsidR="00D23886" w:rsidRDefault="007B2FA1">
      <w:pPr>
        <w:pStyle w:val="2"/>
        <w:snapToGrid w:val="0"/>
        <w:ind w:left="420"/>
        <w:rPr>
          <w:rFonts w:ascii="Times New Roman" w:eastAsia="宋体" w:hAnsi="Times New Roman"/>
          <w:sz w:val="24"/>
          <w:szCs w:val="24"/>
        </w:rPr>
      </w:pPr>
      <w:r>
        <w:rPr>
          <w:rFonts w:ascii="Times New Roman" w:eastAsia="宋体" w:hAnsi="Times New Roman"/>
          <w:sz w:val="24"/>
          <w:szCs w:val="24"/>
        </w:rPr>
        <w:t>（一）评价结论</w:t>
      </w:r>
    </w:p>
    <w:p w:rsidR="00D23886" w:rsidRDefault="007B2FA1">
      <w:pPr>
        <w:pStyle w:val="3"/>
        <w:ind w:left="630"/>
        <w:rPr>
          <w:rFonts w:ascii="Times New Roman" w:eastAsia="宋体" w:hAnsi="Times New Roman" w:cs="Times New Roman"/>
          <w:sz w:val="24"/>
          <w:szCs w:val="24"/>
        </w:rPr>
      </w:pPr>
      <w:bookmarkStart w:id="35" w:name="_Toc85135188"/>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评价结果</w:t>
      </w:r>
      <w:bookmarkEnd w:id="35"/>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绩效评价结果采取评分与评级相结合的形式，具体分值和等级根据不同评价内容设定，体现客观公正，具有公信力。量化分值一般为百分制，绩效评价等级标准分为：优（</w:t>
      </w:r>
      <w:r>
        <w:rPr>
          <w:rFonts w:ascii="Times New Roman" w:eastAsia="宋体" w:hAnsi="Times New Roman" w:cs="Times New Roman"/>
          <w:sz w:val="24"/>
          <w:szCs w:val="24"/>
          <w:lang w:eastAsia="zh-TW"/>
        </w:rPr>
        <w:t>A</w:t>
      </w:r>
      <w:r>
        <w:rPr>
          <w:rFonts w:ascii="Times New Roman" w:eastAsia="宋体" w:hAnsi="Times New Roman" w:cs="Times New Roman"/>
          <w:sz w:val="24"/>
          <w:szCs w:val="24"/>
          <w:lang w:eastAsia="zh-TW"/>
        </w:rPr>
        <w:t>）、良</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B</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、中</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C</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、差</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D</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4</w:t>
      </w:r>
      <w:r>
        <w:rPr>
          <w:rFonts w:ascii="Times New Roman" w:eastAsia="宋体" w:hAnsi="Times New Roman" w:cs="Times New Roman"/>
          <w:sz w:val="24"/>
          <w:szCs w:val="24"/>
          <w:lang w:eastAsia="zh-TW"/>
        </w:rPr>
        <w:t>个评价等级。</w:t>
      </w:r>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其中：优</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A</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≥90</w:t>
      </w:r>
      <w:r>
        <w:rPr>
          <w:rFonts w:ascii="Times New Roman" w:eastAsia="宋体" w:hAnsi="Times New Roman" w:cs="Times New Roman"/>
          <w:sz w:val="24"/>
          <w:szCs w:val="24"/>
          <w:lang w:eastAsia="zh-TW"/>
        </w:rPr>
        <w:t>分，良</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B</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:90 &gt;</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≥80</w:t>
      </w:r>
      <w:r>
        <w:rPr>
          <w:rFonts w:ascii="Times New Roman" w:eastAsia="宋体" w:hAnsi="Times New Roman" w:cs="Times New Roman"/>
          <w:sz w:val="24"/>
          <w:szCs w:val="24"/>
          <w:lang w:eastAsia="zh-TW"/>
        </w:rPr>
        <w:t>分，中</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C</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 80&gt;</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≥60</w:t>
      </w:r>
      <w:r>
        <w:rPr>
          <w:rFonts w:ascii="Times New Roman" w:eastAsia="宋体" w:hAnsi="Times New Roman" w:cs="Times New Roman"/>
          <w:sz w:val="24"/>
          <w:szCs w:val="24"/>
          <w:lang w:eastAsia="zh-TW"/>
        </w:rPr>
        <w:t>分，差</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D</w:t>
      </w:r>
      <w:r>
        <w:rPr>
          <w:rFonts w:ascii="Times New Roman" w:eastAsia="宋体" w:hAnsi="Times New Roman" w:cs="Times New Roman" w:hint="eastAsia"/>
          <w:sz w:val="24"/>
          <w:szCs w:val="24"/>
        </w:rPr>
        <w:t>）</w:t>
      </w:r>
      <w:r>
        <w:rPr>
          <w:rFonts w:ascii="Times New Roman" w:eastAsia="宋体" w:hAnsi="Times New Roman" w:cs="Times New Roman"/>
          <w:sz w:val="24"/>
          <w:szCs w:val="24"/>
          <w:lang w:eastAsia="zh-TW"/>
        </w:rPr>
        <w:t xml:space="preserve">: </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&lt;60</w:t>
      </w:r>
      <w:r>
        <w:rPr>
          <w:rFonts w:ascii="Times New Roman" w:eastAsia="宋体" w:hAnsi="Times New Roman" w:cs="Times New Roman"/>
          <w:sz w:val="24"/>
          <w:szCs w:val="24"/>
          <w:lang w:eastAsia="zh-TW"/>
        </w:rPr>
        <w:t>分。</w:t>
      </w:r>
      <w:r>
        <w:rPr>
          <w:rFonts w:ascii="Times New Roman" w:eastAsia="宋体" w:hAnsi="Times New Roman" w:cs="Times New Roman" w:hint="eastAsia"/>
          <w:sz w:val="24"/>
          <w:szCs w:val="24"/>
        </w:rPr>
        <w:t>筑底</w:t>
      </w:r>
      <w:r>
        <w:rPr>
          <w:rFonts w:ascii="Times New Roman" w:eastAsia="宋体" w:hAnsi="Times New Roman" w:cs="Times New Roman"/>
          <w:sz w:val="24"/>
          <w:szCs w:val="24"/>
          <w:lang w:eastAsia="zh-TW"/>
        </w:rPr>
        <w:t>项目综合评分为</w:t>
      </w:r>
      <w:r w:rsidRPr="00FB1416">
        <w:rPr>
          <w:rFonts w:ascii="Times New Roman" w:eastAsia="宋体" w:hAnsi="Times New Roman" w:cs="Times New Roman" w:hint="eastAsia"/>
          <w:sz w:val="24"/>
          <w:szCs w:val="24"/>
        </w:rPr>
        <w:t>75.2</w:t>
      </w:r>
      <w:r w:rsidR="003D4018" w:rsidRPr="00FB1416">
        <w:rPr>
          <w:rFonts w:ascii="Times New Roman" w:eastAsia="宋体" w:hAnsi="Times New Roman" w:cs="Times New Roman"/>
          <w:sz w:val="24"/>
          <w:szCs w:val="24"/>
        </w:rPr>
        <w:t>5</w:t>
      </w:r>
      <w:r>
        <w:rPr>
          <w:rFonts w:ascii="Times New Roman" w:eastAsia="宋体" w:hAnsi="Times New Roman" w:cs="Times New Roman"/>
          <w:sz w:val="24"/>
          <w:szCs w:val="24"/>
          <w:lang w:eastAsia="zh-TW"/>
        </w:rPr>
        <w:t>分，绩效评级为</w:t>
      </w:r>
      <w:r>
        <w:rPr>
          <w:rFonts w:ascii="Times New Roman" w:eastAsia="宋体" w:hAnsi="Times New Roman" w:cs="Times New Roman"/>
          <w:sz w:val="24"/>
          <w:szCs w:val="24"/>
          <w:lang w:eastAsia="zh-TW"/>
        </w:rPr>
        <w:t>“</w:t>
      </w:r>
      <w:r>
        <w:rPr>
          <w:rFonts w:ascii="Times New Roman" w:eastAsia="宋体" w:hAnsi="Times New Roman" w:cs="Times New Roman" w:hint="eastAsia"/>
          <w:sz w:val="24"/>
          <w:szCs w:val="24"/>
          <w:lang w:eastAsia="zh-TW"/>
        </w:rPr>
        <w:t>中</w:t>
      </w:r>
      <w:r>
        <w:rPr>
          <w:rFonts w:ascii="Times New Roman" w:eastAsia="宋体" w:hAnsi="Times New Roman" w:cs="Times New Roman"/>
          <w:sz w:val="24"/>
          <w:szCs w:val="24"/>
          <w:lang w:eastAsia="zh-TW"/>
        </w:rPr>
        <w:t>”</w:t>
      </w:r>
      <w:r>
        <w:rPr>
          <w:rFonts w:ascii="Times New Roman" w:eastAsia="宋体" w:hAnsi="Times New Roman" w:cs="Times New Roman"/>
          <w:sz w:val="24"/>
          <w:szCs w:val="24"/>
          <w:lang w:eastAsia="zh-TW"/>
        </w:rPr>
        <w:t>，各级指标绩效评分情况汇总如</w:t>
      </w:r>
      <w:r>
        <w:rPr>
          <w:rFonts w:ascii="Times New Roman" w:eastAsia="宋体" w:hAnsi="Times New Roman" w:cs="Times New Roman"/>
          <w:sz w:val="24"/>
          <w:szCs w:val="24"/>
        </w:rPr>
        <w:t>下表</w:t>
      </w:r>
      <w:r>
        <w:rPr>
          <w:rFonts w:ascii="Times New Roman" w:eastAsia="宋体" w:hAnsi="Times New Roman" w:cs="Times New Roman"/>
          <w:sz w:val="24"/>
          <w:szCs w:val="24"/>
        </w:rPr>
        <w:t>2</w:t>
      </w:r>
      <w:r>
        <w:rPr>
          <w:rFonts w:ascii="Times New Roman" w:eastAsia="宋体" w:hAnsi="Times New Roman" w:cs="Times New Roman"/>
          <w:sz w:val="24"/>
          <w:szCs w:val="24"/>
        </w:rPr>
        <w:t>所示</w:t>
      </w:r>
      <w:r>
        <w:rPr>
          <w:rFonts w:ascii="Times New Roman" w:eastAsia="宋体" w:hAnsi="Times New Roman" w:cs="Times New Roman"/>
          <w:sz w:val="24"/>
          <w:szCs w:val="24"/>
          <w:lang w:eastAsia="zh-TW"/>
        </w:rPr>
        <w:t>：</w:t>
      </w:r>
    </w:p>
    <w:p w:rsidR="00D23886" w:rsidRDefault="007B2FA1">
      <w:pPr>
        <w:snapToGrid w:val="0"/>
        <w:spacing w:line="360" w:lineRule="auto"/>
        <w:ind w:firstLineChars="300" w:firstLine="723"/>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2.</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指标绩效评分情况汇总表</w:t>
      </w:r>
    </w:p>
    <w:tbl>
      <w:tblPr>
        <w:tblW w:w="4998" w:type="pct"/>
        <w:tblLook w:val="04A0"/>
      </w:tblPr>
      <w:tblGrid>
        <w:gridCol w:w="1022"/>
        <w:gridCol w:w="2170"/>
        <w:gridCol w:w="1838"/>
        <w:gridCol w:w="1673"/>
        <w:gridCol w:w="1816"/>
      </w:tblGrid>
      <w:tr w:rsidR="00D23886">
        <w:trPr>
          <w:trHeight w:val="570"/>
        </w:trPr>
        <w:tc>
          <w:tcPr>
            <w:tcW w:w="599"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一级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1272"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二级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1079"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三级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982"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分值</w:t>
            </w:r>
          </w:p>
        </w:tc>
        <w:tc>
          <w:tcPr>
            <w:tcW w:w="1066" w:type="pct"/>
            <w:tcBorders>
              <w:top w:val="single" w:sz="8" w:space="0" w:color="000000"/>
              <w:left w:val="single" w:sz="4" w:space="0" w:color="000000"/>
              <w:bottom w:val="single" w:sz="4" w:space="0" w:color="000000"/>
              <w:right w:val="single" w:sz="8"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得分</w:t>
            </w:r>
          </w:p>
        </w:tc>
      </w:tr>
      <w:tr w:rsidR="00D23886">
        <w:trPr>
          <w:trHeight w:val="312"/>
        </w:trPr>
        <w:tc>
          <w:tcPr>
            <w:tcW w:w="599"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A决策（26）</w:t>
            </w: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A1项目立项</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（4分）</w:t>
            </w: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A101立项合规</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A102项目职责</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A2绩效目标（6分）</w:t>
            </w: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A201绩效目标</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明确性</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A202绩效目标</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合理性</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A3规划数量</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A301站点预期完成率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1.96</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A302人员预期完成率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1.45</w:t>
            </w: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A303运行费用预期完成率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1.96</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A4预算编制</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（7分）</w:t>
            </w: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A401预算范围合规性</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A402预算标准合理性</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A403预算测算数据客观性</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A404预算测算过程细化度</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480"/>
        </w:trPr>
        <w:tc>
          <w:tcPr>
            <w:tcW w:w="599"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B管理效率</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（34分）</w:t>
            </w: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B1组织实施</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B101制度体系</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健全性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B102管理制度</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完整性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B103制度执行</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合规性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B104制度执行</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有效性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B105政府采购</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应采尽采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B2资金管理</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（19分）</w:t>
            </w:r>
          </w:p>
        </w:tc>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B201资金到位率</w:t>
            </w:r>
          </w:p>
        </w:tc>
        <w:tc>
          <w:tcPr>
            <w:tcW w:w="9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23886">
        <w:trPr>
          <w:trHeight w:val="312"/>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66"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B202资金到位</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及时率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B203预算执行率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2.29</w:t>
            </w:r>
          </w:p>
        </w:tc>
      </w:tr>
      <w:tr w:rsidR="00D23886">
        <w:trPr>
          <w:trHeight w:val="480"/>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B204资金使用</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合规性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r>
      <w:tr w:rsidR="00D23886">
        <w:trPr>
          <w:trHeight w:val="285"/>
        </w:trPr>
        <w:tc>
          <w:tcPr>
            <w:tcW w:w="599"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C产出（18分）</w:t>
            </w: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C1产出质量</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C101站点运行配置率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2.26 </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C102站点人员配置率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C103运行费用配置率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2.61</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C2产出时效</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C201站点完成率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1.48 </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C202站点人员完成率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1.15</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C203运行费用完成率</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1.71</w:t>
            </w:r>
          </w:p>
        </w:tc>
      </w:tr>
      <w:tr w:rsidR="00D23886">
        <w:trPr>
          <w:trHeight w:val="285"/>
        </w:trPr>
        <w:tc>
          <w:tcPr>
            <w:tcW w:w="599"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D效益</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（22分）</w:t>
            </w: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D1社会效益（4分）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D101可靠性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Pr="00FB1416" w:rsidRDefault="007B2FA1">
            <w:pPr>
              <w:widowControl/>
              <w:jc w:val="center"/>
              <w:textAlignment w:val="center"/>
              <w:rPr>
                <w:rFonts w:ascii="宋体" w:eastAsia="宋体" w:hAnsi="宋体" w:cs="宋体"/>
                <w:color w:val="000000"/>
                <w:sz w:val="20"/>
                <w:szCs w:val="20"/>
              </w:rPr>
            </w:pPr>
            <w:r w:rsidRPr="00FB1416">
              <w:rPr>
                <w:rFonts w:ascii="宋体" w:eastAsia="宋体" w:hAnsi="宋体" w:cs="宋体" w:hint="eastAsia"/>
                <w:color w:val="000000"/>
                <w:kern w:val="0"/>
                <w:sz w:val="20"/>
                <w:szCs w:val="20"/>
                <w:lang/>
              </w:rPr>
              <w:t>1</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D102有效性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Pr="00FB1416" w:rsidRDefault="008E2F67">
            <w:pPr>
              <w:jc w:val="center"/>
              <w:rPr>
                <w:rFonts w:ascii="宋体" w:eastAsia="宋体" w:hAnsi="宋体" w:cs="宋体"/>
                <w:color w:val="000000"/>
                <w:sz w:val="20"/>
                <w:szCs w:val="20"/>
              </w:rPr>
            </w:pPr>
            <w:r w:rsidRPr="00FB1416">
              <w:rPr>
                <w:rFonts w:ascii="宋体" w:eastAsia="宋体" w:hAnsi="宋体" w:cs="宋体" w:hint="eastAsia"/>
                <w:color w:val="000000"/>
                <w:sz w:val="20"/>
                <w:szCs w:val="20"/>
              </w:rPr>
              <w:t>0.5</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D2经济效益（4分）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D201便捷性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Pr="00FB1416" w:rsidRDefault="007B2FA1">
            <w:pPr>
              <w:widowControl/>
              <w:jc w:val="center"/>
              <w:textAlignment w:val="center"/>
              <w:rPr>
                <w:rFonts w:ascii="宋体" w:eastAsia="宋体" w:hAnsi="宋体" w:cs="宋体"/>
                <w:color w:val="000000"/>
                <w:sz w:val="20"/>
                <w:szCs w:val="20"/>
              </w:rPr>
            </w:pPr>
            <w:r w:rsidRPr="00FB1416">
              <w:rPr>
                <w:rFonts w:ascii="宋体" w:eastAsia="宋体" w:hAnsi="宋体" w:cs="宋体" w:hint="eastAsia"/>
                <w:color w:val="000000"/>
                <w:kern w:val="0"/>
                <w:sz w:val="20"/>
                <w:szCs w:val="20"/>
                <w:lang/>
              </w:rPr>
              <w:t>1</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D202廉价性</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Pr="00FB1416" w:rsidRDefault="008E2F67">
            <w:pPr>
              <w:jc w:val="center"/>
              <w:rPr>
                <w:rFonts w:ascii="宋体" w:eastAsia="宋体" w:hAnsi="宋体" w:cs="宋体"/>
                <w:color w:val="000000"/>
                <w:sz w:val="20"/>
                <w:szCs w:val="20"/>
              </w:rPr>
            </w:pPr>
            <w:r w:rsidRPr="00FB1416">
              <w:rPr>
                <w:rFonts w:ascii="宋体" w:eastAsia="宋体" w:hAnsi="宋体" w:cs="宋体" w:hint="eastAsia"/>
                <w:color w:val="000000"/>
                <w:sz w:val="20"/>
                <w:szCs w:val="20"/>
              </w:rPr>
              <w:t>2</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D3可持续效益（4分）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D301就业影响</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Pr="00FB1416" w:rsidRDefault="007B2FA1">
            <w:pPr>
              <w:widowControl/>
              <w:jc w:val="center"/>
              <w:textAlignment w:val="center"/>
              <w:rPr>
                <w:rFonts w:ascii="宋体" w:eastAsia="宋体" w:hAnsi="宋体" w:cs="宋体"/>
                <w:color w:val="000000"/>
                <w:sz w:val="20"/>
                <w:szCs w:val="20"/>
              </w:rPr>
            </w:pPr>
            <w:r w:rsidRPr="00FB1416">
              <w:rPr>
                <w:rFonts w:ascii="宋体" w:eastAsia="宋体" w:hAnsi="宋体" w:cs="宋体" w:hint="eastAsia"/>
                <w:color w:val="000000"/>
                <w:kern w:val="0"/>
                <w:sz w:val="20"/>
                <w:szCs w:val="20"/>
                <w:lang/>
              </w:rPr>
              <w:t>0.5</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D302社区经济影响</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Pr="00FB1416" w:rsidRDefault="008E2F67">
            <w:pPr>
              <w:jc w:val="center"/>
              <w:rPr>
                <w:rFonts w:ascii="宋体" w:eastAsia="宋体" w:hAnsi="宋体" w:cs="宋体"/>
                <w:color w:val="000000"/>
                <w:sz w:val="20"/>
                <w:szCs w:val="20"/>
              </w:rPr>
            </w:pPr>
            <w:r w:rsidRPr="00FB1416">
              <w:rPr>
                <w:rFonts w:ascii="宋体" w:eastAsia="宋体" w:hAnsi="宋体" w:cs="宋体" w:hint="eastAsia"/>
                <w:color w:val="000000"/>
                <w:sz w:val="20"/>
                <w:szCs w:val="20"/>
              </w:rPr>
              <w:t>1</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D4满意度（10分）</w:t>
            </w: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D401站点满意度</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23886">
        <w:trPr>
          <w:trHeight w:val="285"/>
        </w:trPr>
        <w:tc>
          <w:tcPr>
            <w:tcW w:w="599"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2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D402医务人员满意度</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066"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r>
      <w:tr w:rsidR="00D23886">
        <w:trPr>
          <w:trHeight w:val="300"/>
        </w:trPr>
        <w:tc>
          <w:tcPr>
            <w:tcW w:w="599" w:type="pct"/>
            <w:tcBorders>
              <w:top w:val="single" w:sz="4" w:space="0" w:color="000000"/>
              <w:left w:val="single" w:sz="8" w:space="0" w:color="000000"/>
              <w:bottom w:val="single" w:sz="8" w:space="0" w:color="000000"/>
              <w:right w:val="single" w:sz="4" w:space="0" w:color="000000"/>
            </w:tcBorders>
            <w:shd w:val="clear" w:color="auto" w:fill="auto"/>
            <w:noWrap/>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1272" w:type="pct"/>
            <w:tcBorders>
              <w:top w:val="single" w:sz="4" w:space="0" w:color="000000"/>
              <w:left w:val="single" w:sz="4" w:space="0" w:color="000000"/>
              <w:bottom w:val="single" w:sz="8" w:space="0" w:color="000000"/>
              <w:right w:val="single" w:sz="4" w:space="0" w:color="000000"/>
            </w:tcBorders>
            <w:shd w:val="clear" w:color="auto" w:fill="auto"/>
            <w:noWrap/>
            <w:vAlign w:val="center"/>
          </w:tcPr>
          <w:p w:rsidR="00D23886" w:rsidRDefault="00D23886">
            <w:pPr>
              <w:rPr>
                <w:rFonts w:ascii="宋体" w:eastAsia="宋体" w:hAnsi="宋体" w:cs="宋体"/>
                <w:color w:val="000000"/>
                <w:sz w:val="20"/>
                <w:szCs w:val="20"/>
              </w:rPr>
            </w:pPr>
          </w:p>
        </w:tc>
        <w:tc>
          <w:tcPr>
            <w:tcW w:w="1079" w:type="pct"/>
            <w:tcBorders>
              <w:top w:val="single" w:sz="4" w:space="0" w:color="000000"/>
              <w:left w:val="single" w:sz="4" w:space="0" w:color="000000"/>
              <w:bottom w:val="single" w:sz="8" w:space="0" w:color="000000"/>
              <w:right w:val="single" w:sz="4" w:space="0" w:color="000000"/>
            </w:tcBorders>
            <w:shd w:val="clear" w:color="auto" w:fill="auto"/>
            <w:noWrap/>
            <w:vAlign w:val="center"/>
          </w:tcPr>
          <w:p w:rsidR="00D23886" w:rsidRDefault="00D23886">
            <w:pPr>
              <w:rPr>
                <w:rFonts w:ascii="宋体" w:eastAsia="宋体" w:hAnsi="宋体" w:cs="宋体"/>
                <w:color w:val="000000"/>
                <w:sz w:val="20"/>
                <w:szCs w:val="20"/>
              </w:rPr>
            </w:pPr>
          </w:p>
        </w:tc>
        <w:tc>
          <w:tcPr>
            <w:tcW w:w="982"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rPr>
              <w:t>100</w:t>
            </w:r>
          </w:p>
        </w:tc>
        <w:tc>
          <w:tcPr>
            <w:tcW w:w="1066" w:type="pct"/>
            <w:tcBorders>
              <w:top w:val="single" w:sz="4" w:space="0" w:color="000000"/>
              <w:left w:val="single" w:sz="4" w:space="0" w:color="000000"/>
              <w:bottom w:val="single" w:sz="8" w:space="0" w:color="000000"/>
              <w:right w:val="single" w:sz="8" w:space="0" w:color="000000"/>
            </w:tcBorders>
            <w:shd w:val="clear" w:color="auto" w:fill="auto"/>
            <w:noWrap/>
            <w:vAlign w:val="center"/>
          </w:tcPr>
          <w:p w:rsidR="00D23886" w:rsidRDefault="007B2FA1">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rPr>
              <w:t xml:space="preserve">75.25 </w:t>
            </w:r>
          </w:p>
        </w:tc>
      </w:tr>
    </w:tbl>
    <w:p w:rsidR="00D23886" w:rsidRDefault="007B2FA1" w:rsidP="00AE3453">
      <w:pPr>
        <w:pStyle w:val="3"/>
        <w:spacing w:beforeLines="50"/>
        <w:ind w:left="630"/>
        <w:rPr>
          <w:rFonts w:ascii="Times New Roman" w:eastAsia="宋体" w:hAnsi="Times New Roman" w:cs="Times New Roman"/>
          <w:sz w:val="24"/>
          <w:szCs w:val="24"/>
        </w:rPr>
      </w:pPr>
      <w:bookmarkStart w:id="36" w:name="_Toc85135189"/>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主要绩效</w:t>
      </w:r>
      <w:bookmarkEnd w:id="36"/>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①在站点运行上，</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年度，本项目规划站点数量</w:t>
      </w:r>
      <w:r>
        <w:rPr>
          <w:rFonts w:ascii="Times New Roman" w:eastAsia="宋体" w:hAnsi="Times New Roman" w:cs="Times New Roman" w:hint="eastAsia"/>
          <w:sz w:val="24"/>
          <w:szCs w:val="24"/>
        </w:rPr>
        <w:t>110</w:t>
      </w:r>
      <w:r>
        <w:rPr>
          <w:rFonts w:ascii="Times New Roman" w:eastAsia="宋体" w:hAnsi="Times New Roman" w:cs="Times New Roman" w:hint="eastAsia"/>
          <w:sz w:val="24"/>
          <w:szCs w:val="24"/>
        </w:rPr>
        <w:t>个，预算申报站点开放数量</w:t>
      </w:r>
      <w:r>
        <w:rPr>
          <w:rFonts w:ascii="Times New Roman" w:eastAsia="宋体" w:hAnsi="Times New Roman" w:cs="Times New Roman" w:hint="eastAsia"/>
          <w:sz w:val="24"/>
          <w:szCs w:val="24"/>
        </w:rPr>
        <w:t>72</w:t>
      </w:r>
      <w:r>
        <w:rPr>
          <w:rFonts w:ascii="Times New Roman" w:eastAsia="宋体" w:hAnsi="Times New Roman" w:cs="Times New Roman" w:hint="eastAsia"/>
          <w:sz w:val="24"/>
          <w:szCs w:val="24"/>
        </w:rPr>
        <w:t>个，实际运行站点数量按照开放月数加权平均计算</w:t>
      </w:r>
      <w:r>
        <w:rPr>
          <w:rFonts w:ascii="Times New Roman" w:eastAsia="宋体" w:hAnsi="Times New Roman" w:cs="Times New Roman" w:hint="eastAsia"/>
          <w:sz w:val="24"/>
          <w:szCs w:val="24"/>
        </w:rPr>
        <w:t>54.25</w:t>
      </w:r>
      <w:r>
        <w:rPr>
          <w:rFonts w:ascii="Times New Roman" w:eastAsia="宋体" w:hAnsi="Times New Roman" w:cs="Times New Roman" w:hint="eastAsia"/>
          <w:sz w:val="24"/>
          <w:szCs w:val="24"/>
        </w:rPr>
        <w:t>个。</w:t>
      </w:r>
    </w:p>
    <w:p w:rsidR="00D23886" w:rsidRDefault="007B2FA1">
      <w:pPr>
        <w:pStyle w:val="a0"/>
        <w:spacing w:line="360" w:lineRule="auto"/>
        <w:ind w:firstLine="480"/>
        <w:rPr>
          <w:rFonts w:hAnsi="Times New Roman" w:cs="Times New Roman"/>
          <w:sz w:val="24"/>
        </w:rPr>
      </w:pPr>
      <w:r>
        <w:rPr>
          <w:rFonts w:hAnsi="Times New Roman" w:cs="Times New Roman" w:hint="eastAsia"/>
          <w:sz w:val="24"/>
        </w:rPr>
        <w:t>②在站点人员管理上，</w:t>
      </w:r>
      <w:r>
        <w:rPr>
          <w:rFonts w:hAnsi="Times New Roman" w:cs="Times New Roman" w:hint="eastAsia"/>
          <w:sz w:val="24"/>
        </w:rPr>
        <w:t>2021</w:t>
      </w:r>
      <w:r>
        <w:rPr>
          <w:rFonts w:hAnsi="Times New Roman" w:cs="Times New Roman" w:hint="eastAsia"/>
          <w:sz w:val="24"/>
        </w:rPr>
        <w:t>年度，本项目规划站点人员数量</w:t>
      </w:r>
      <w:r>
        <w:rPr>
          <w:rFonts w:hAnsi="Times New Roman" w:cs="Times New Roman" w:hint="eastAsia"/>
          <w:sz w:val="24"/>
        </w:rPr>
        <w:t>660</w:t>
      </w:r>
      <w:r>
        <w:rPr>
          <w:rFonts w:hAnsi="Times New Roman" w:cs="Times New Roman" w:hint="eastAsia"/>
          <w:sz w:val="24"/>
        </w:rPr>
        <w:t>人，预算申报站点人员数量</w:t>
      </w:r>
      <w:r>
        <w:rPr>
          <w:rFonts w:hAnsi="Times New Roman" w:cs="Times New Roman" w:hint="eastAsia"/>
          <w:sz w:val="24"/>
        </w:rPr>
        <w:t>319</w:t>
      </w:r>
      <w:r>
        <w:rPr>
          <w:rFonts w:hAnsi="Times New Roman" w:cs="Times New Roman" w:hint="eastAsia"/>
          <w:sz w:val="24"/>
        </w:rPr>
        <w:t>人，实际站点人员数量</w:t>
      </w:r>
      <w:r>
        <w:rPr>
          <w:rFonts w:hAnsi="Times New Roman" w:cs="Times New Roman" w:hint="eastAsia"/>
          <w:sz w:val="24"/>
        </w:rPr>
        <w:t>253</w:t>
      </w:r>
      <w:r>
        <w:rPr>
          <w:rFonts w:hAnsi="Times New Roman" w:cs="Times New Roman" w:hint="eastAsia"/>
          <w:sz w:val="24"/>
        </w:rPr>
        <w:t>人。</w:t>
      </w:r>
    </w:p>
    <w:p w:rsidR="00D23886" w:rsidRDefault="007B2FA1">
      <w:pPr>
        <w:pStyle w:val="a0"/>
        <w:spacing w:line="360" w:lineRule="auto"/>
        <w:ind w:firstLine="480"/>
      </w:pPr>
      <w:r>
        <w:rPr>
          <w:rFonts w:hAnsi="Times New Roman" w:cs="Times New Roman" w:hint="eastAsia"/>
          <w:sz w:val="24"/>
        </w:rPr>
        <w:t>③站点运行费用管理上，</w:t>
      </w:r>
      <w:r>
        <w:rPr>
          <w:rFonts w:hAnsi="Times New Roman" w:cs="Times New Roman" w:hint="eastAsia"/>
          <w:sz w:val="24"/>
        </w:rPr>
        <w:t>2021</w:t>
      </w:r>
      <w:r>
        <w:rPr>
          <w:rFonts w:hAnsi="Times New Roman" w:cs="Times New Roman" w:hint="eastAsia"/>
          <w:sz w:val="24"/>
        </w:rPr>
        <w:t>年度，本项目规划运行费用</w:t>
      </w:r>
      <w:r>
        <w:rPr>
          <w:rFonts w:hAnsi="Times New Roman" w:cs="Times New Roman" w:hint="eastAsia"/>
          <w:sz w:val="24"/>
        </w:rPr>
        <w:t>330</w:t>
      </w:r>
      <w:r>
        <w:rPr>
          <w:rFonts w:hAnsi="Times New Roman" w:cs="Times New Roman" w:hint="eastAsia"/>
          <w:sz w:val="24"/>
        </w:rPr>
        <w:t>万元，预算申报运行费用</w:t>
      </w:r>
      <w:r>
        <w:rPr>
          <w:rFonts w:hAnsi="Times New Roman" w:cs="Times New Roman" w:hint="eastAsia"/>
          <w:sz w:val="24"/>
        </w:rPr>
        <w:t>219</w:t>
      </w:r>
      <w:r>
        <w:rPr>
          <w:rFonts w:hAnsi="Times New Roman" w:cs="Times New Roman" w:hint="eastAsia"/>
          <w:sz w:val="24"/>
        </w:rPr>
        <w:t>万元，实际支出运行费用</w:t>
      </w:r>
      <w:r>
        <w:rPr>
          <w:rFonts w:hAnsi="Times New Roman" w:cs="Times New Roman" w:hint="eastAsia"/>
          <w:sz w:val="24"/>
        </w:rPr>
        <w:t>187.59</w:t>
      </w:r>
      <w:r>
        <w:rPr>
          <w:rFonts w:hAnsi="Times New Roman" w:cs="Times New Roman" w:hint="eastAsia"/>
          <w:sz w:val="24"/>
        </w:rPr>
        <w:t>万元。</w:t>
      </w:r>
    </w:p>
    <w:p w:rsidR="00D23886" w:rsidRDefault="007B2FA1">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hint="eastAsia"/>
          <w:sz w:val="24"/>
          <w:szCs w:val="24"/>
          <w:lang w:eastAsia="zh-TW"/>
        </w:rPr>
        <w:t>该项目因疫情造成的</w:t>
      </w:r>
      <w:r>
        <w:rPr>
          <w:rFonts w:ascii="Times New Roman" w:eastAsia="宋体" w:hAnsi="Times New Roman" w:cs="Times New Roman" w:hint="eastAsia"/>
          <w:sz w:val="24"/>
          <w:szCs w:val="24"/>
        </w:rPr>
        <w:t>站点人员招聘延迟，已入职站点人员由于抗疫需要外出支援等原因造成的站点无法正常开放</w:t>
      </w:r>
      <w:r>
        <w:rPr>
          <w:rFonts w:ascii="Times New Roman" w:eastAsia="宋体" w:hAnsi="Times New Roman" w:cs="Times New Roman" w:hint="eastAsia"/>
          <w:sz w:val="24"/>
          <w:szCs w:val="24"/>
          <w:lang w:eastAsia="zh-TW"/>
        </w:rPr>
        <w:t>，</w:t>
      </w:r>
      <w:r>
        <w:rPr>
          <w:rFonts w:ascii="Times New Roman" w:eastAsia="宋体" w:hAnsi="Times New Roman" w:cs="Times New Roman" w:hint="eastAsia"/>
          <w:sz w:val="24"/>
          <w:szCs w:val="24"/>
        </w:rPr>
        <w:t>未完成项目预算。</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年度，该项目预算申报金额</w:t>
      </w:r>
      <w:r>
        <w:rPr>
          <w:rFonts w:ascii="Times New Roman" w:eastAsia="宋体" w:hAnsi="Times New Roman" w:cs="Times New Roman" w:hint="eastAsia"/>
          <w:sz w:val="24"/>
          <w:szCs w:val="24"/>
        </w:rPr>
        <w:t>2,451.65</w:t>
      </w:r>
      <w:r>
        <w:rPr>
          <w:rFonts w:ascii="Times New Roman" w:eastAsia="宋体" w:hAnsi="Times New Roman" w:cs="Times New Roman" w:hint="eastAsia"/>
          <w:sz w:val="24"/>
          <w:szCs w:val="24"/>
        </w:rPr>
        <w:t>万元，实际支出金额</w:t>
      </w:r>
      <w:r>
        <w:rPr>
          <w:rFonts w:ascii="Times New Roman" w:eastAsia="宋体" w:hAnsi="Times New Roman" w:cs="Times New Roman" w:hint="eastAsia"/>
          <w:sz w:val="24"/>
          <w:szCs w:val="24"/>
        </w:rPr>
        <w:t>1,896.00</w:t>
      </w:r>
      <w:r>
        <w:rPr>
          <w:rFonts w:ascii="Times New Roman" w:eastAsia="宋体" w:hAnsi="Times New Roman" w:cs="Times New Roman" w:hint="eastAsia"/>
          <w:sz w:val="24"/>
          <w:szCs w:val="24"/>
        </w:rPr>
        <w:t>万元</w:t>
      </w:r>
      <w:r>
        <w:rPr>
          <w:rFonts w:ascii="Times New Roman" w:eastAsia="宋体" w:hAnsi="Times New Roman" w:cs="Times New Roman"/>
          <w:sz w:val="24"/>
          <w:szCs w:val="24"/>
          <w:lang w:eastAsia="zh-TW"/>
        </w:rPr>
        <w:t>。</w:t>
      </w:r>
    </w:p>
    <w:p w:rsidR="00D23886" w:rsidRDefault="007B2FA1">
      <w:pPr>
        <w:pStyle w:val="2"/>
        <w:snapToGrid w:val="0"/>
        <w:ind w:left="420"/>
        <w:rPr>
          <w:rFonts w:ascii="Times New Roman" w:eastAsia="宋体" w:hAnsi="Times New Roman"/>
          <w:sz w:val="24"/>
          <w:szCs w:val="24"/>
          <w:u w:color="000000"/>
          <w:lang w:val="zh-TW" w:eastAsia="zh-TW"/>
        </w:rPr>
      </w:pPr>
      <w:bookmarkStart w:id="37" w:name="_Toc497174792"/>
      <w:bookmarkStart w:id="38" w:name="_Toc464822529"/>
      <w:bookmarkStart w:id="39" w:name="_Toc464483999"/>
      <w:bookmarkStart w:id="40" w:name="_Toc465099019"/>
      <w:bookmarkStart w:id="41" w:name="_Toc456856756"/>
      <w:bookmarkStart w:id="42" w:name="_Toc434829656"/>
      <w:bookmarkStart w:id="43" w:name="_Toc490229525"/>
      <w:bookmarkStart w:id="44" w:name="_Toc467246334"/>
      <w:bookmarkStart w:id="45" w:name="_Toc85135190"/>
      <w:r>
        <w:rPr>
          <w:rFonts w:ascii="Times New Roman" w:eastAsia="宋体" w:hAnsi="Times New Roman"/>
          <w:sz w:val="24"/>
          <w:szCs w:val="24"/>
          <w:u w:color="000000"/>
          <w:lang w:val="zh-TW" w:eastAsia="zh-TW"/>
        </w:rPr>
        <w:t>（二）绩效指标分析</w:t>
      </w:r>
      <w:bookmarkEnd w:id="37"/>
      <w:bookmarkEnd w:id="38"/>
      <w:bookmarkEnd w:id="39"/>
      <w:bookmarkEnd w:id="40"/>
      <w:bookmarkEnd w:id="41"/>
      <w:bookmarkEnd w:id="42"/>
      <w:bookmarkEnd w:id="43"/>
      <w:bookmarkEnd w:id="44"/>
      <w:bookmarkEnd w:id="45"/>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通过解读相关文件、访谈、现场调研、数据分析，按照工作方案确定的指标体系及评分标准，设置</w:t>
      </w:r>
      <w:r>
        <w:rPr>
          <w:rFonts w:ascii="Times New Roman" w:eastAsia="宋体" w:hAnsi="Times New Roman" w:cs="Times New Roman" w:hint="eastAsia"/>
          <w:sz w:val="24"/>
          <w:szCs w:val="24"/>
        </w:rPr>
        <w:t>4</w:t>
      </w:r>
      <w:r>
        <w:rPr>
          <w:rFonts w:ascii="Times New Roman" w:eastAsia="宋体" w:hAnsi="Times New Roman" w:cs="Times New Roman"/>
          <w:sz w:val="24"/>
          <w:szCs w:val="24"/>
        </w:rPr>
        <w:t>项各具侧重点的指标体系，用于评价专项资金的实际使用效果，对项目的各项指标完成情况进行客观分析，逐项打分，并对扣分指标的扣分原因进行了具体分析，本绩效评价项目的最后得分将通过各个单项指标的评分汇总计算出最后得分。具体情况如下：</w:t>
      </w:r>
    </w:p>
    <w:p w:rsidR="00D23886" w:rsidRDefault="007B2FA1">
      <w:pPr>
        <w:pStyle w:val="3"/>
        <w:ind w:left="63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项目决策（</w:t>
      </w:r>
      <w:r>
        <w:rPr>
          <w:rFonts w:ascii="Times New Roman" w:eastAsia="宋体" w:hAnsi="Times New Roman" w:cs="Times New Roman" w:hint="eastAsia"/>
          <w:sz w:val="24"/>
          <w:szCs w:val="24"/>
        </w:rPr>
        <w:t>26</w:t>
      </w:r>
      <w:r>
        <w:rPr>
          <w:rFonts w:ascii="Times New Roman" w:eastAsia="宋体" w:hAnsi="Times New Roman" w:cs="Times New Roman"/>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项目决策类指标由</w:t>
      </w:r>
      <w:r>
        <w:rPr>
          <w:rFonts w:ascii="Times New Roman" w:eastAsia="宋体" w:hAnsi="Times New Roman" w:cs="Times New Roman" w:hint="eastAsia"/>
          <w:sz w:val="24"/>
          <w:szCs w:val="24"/>
        </w:rPr>
        <w:t>4</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Pr>
          <w:rFonts w:ascii="Times New Roman" w:eastAsia="宋体" w:hAnsi="Times New Roman" w:cs="Times New Roman" w:hint="eastAsia"/>
          <w:sz w:val="24"/>
          <w:szCs w:val="24"/>
        </w:rPr>
        <w:t>11</w:t>
      </w:r>
      <w:r>
        <w:rPr>
          <w:rFonts w:ascii="Times New Roman" w:eastAsia="宋体" w:hAnsi="Times New Roman" w:cs="Times New Roman"/>
          <w:sz w:val="24"/>
          <w:szCs w:val="24"/>
        </w:rPr>
        <w:t>个三级指标构成，权重</w:t>
      </w:r>
      <w:r>
        <w:rPr>
          <w:rFonts w:ascii="Times New Roman" w:eastAsia="宋体" w:hAnsi="Times New Roman" w:cs="Times New Roman" w:hint="eastAsia"/>
          <w:sz w:val="24"/>
          <w:szCs w:val="24"/>
        </w:rPr>
        <w:t>26</w:t>
      </w:r>
      <w:r>
        <w:rPr>
          <w:rFonts w:ascii="Times New Roman" w:eastAsia="宋体" w:hAnsi="Times New Roman" w:cs="Times New Roman"/>
          <w:sz w:val="24"/>
          <w:szCs w:val="24"/>
        </w:rPr>
        <w:t>分，实际得分</w:t>
      </w:r>
      <w:r>
        <w:rPr>
          <w:rFonts w:ascii="Times New Roman" w:eastAsia="宋体" w:hAnsi="Times New Roman" w:cs="Times New Roman" w:hint="eastAsia"/>
          <w:sz w:val="24"/>
          <w:szCs w:val="24"/>
        </w:rPr>
        <w:t>20.37</w:t>
      </w:r>
      <w:r>
        <w:rPr>
          <w:rFonts w:ascii="Times New Roman" w:eastAsia="宋体" w:hAnsi="Times New Roman" w:cs="Times New Roman"/>
          <w:sz w:val="24"/>
          <w:szCs w:val="24"/>
        </w:rPr>
        <w:t>分，各指标业绩值和绩效分值如表</w:t>
      </w:r>
      <w:r>
        <w:rPr>
          <w:rFonts w:ascii="Times New Roman" w:eastAsia="宋体" w:hAnsi="Times New Roman" w:cs="Times New Roman"/>
          <w:sz w:val="24"/>
          <w:szCs w:val="24"/>
        </w:rPr>
        <w:t>3</w:t>
      </w:r>
      <w:r>
        <w:rPr>
          <w:rFonts w:ascii="Times New Roman" w:eastAsia="宋体" w:hAnsi="Times New Roman" w:cs="Times New Roman"/>
          <w:sz w:val="24"/>
          <w:szCs w:val="24"/>
        </w:rPr>
        <w:t>所示：</w:t>
      </w:r>
    </w:p>
    <w:p w:rsidR="00D23886" w:rsidRDefault="007B2FA1">
      <w:pPr>
        <w:snapToGrid w:val="0"/>
        <w:spacing w:line="360" w:lineRule="auto"/>
        <w:ind w:firstLineChars="200" w:firstLine="482"/>
        <w:jc w:val="cente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3. </w:t>
      </w:r>
      <w:r>
        <w:rPr>
          <w:rFonts w:ascii="Times New Roman" w:eastAsia="宋体" w:hAnsi="Times New Roman" w:cs="Times New Roman"/>
          <w:b/>
          <w:bCs/>
          <w:sz w:val="24"/>
          <w:szCs w:val="24"/>
        </w:rPr>
        <w:t>项目决策类指标评分表</w:t>
      </w:r>
    </w:p>
    <w:tbl>
      <w:tblPr>
        <w:tblW w:w="4997" w:type="pct"/>
        <w:tblLook w:val="04A0"/>
      </w:tblPr>
      <w:tblGrid>
        <w:gridCol w:w="616"/>
        <w:gridCol w:w="616"/>
        <w:gridCol w:w="457"/>
        <w:gridCol w:w="1784"/>
        <w:gridCol w:w="950"/>
        <w:gridCol w:w="616"/>
        <w:gridCol w:w="3478"/>
      </w:tblGrid>
      <w:tr w:rsidR="00D23886">
        <w:trPr>
          <w:trHeight w:val="570"/>
        </w:trPr>
        <w:tc>
          <w:tcPr>
            <w:tcW w:w="234"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二级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93"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三级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34"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分值</w:t>
            </w:r>
          </w:p>
        </w:tc>
        <w:tc>
          <w:tcPr>
            <w:tcW w:w="1166"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指标解释</w:t>
            </w:r>
          </w:p>
        </w:tc>
        <w:tc>
          <w:tcPr>
            <w:tcW w:w="676"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评分标准</w:t>
            </w:r>
          </w:p>
        </w:tc>
        <w:tc>
          <w:tcPr>
            <w:tcW w:w="234"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得分</w:t>
            </w:r>
          </w:p>
        </w:tc>
        <w:tc>
          <w:tcPr>
            <w:tcW w:w="2159" w:type="pct"/>
            <w:tcBorders>
              <w:top w:val="single" w:sz="8" w:space="0" w:color="000000"/>
              <w:left w:val="single" w:sz="8" w:space="0" w:color="000000"/>
              <w:bottom w:val="single" w:sz="4" w:space="0" w:color="000000"/>
              <w:right w:val="single" w:sz="8"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评分依据</w:t>
            </w:r>
          </w:p>
        </w:tc>
      </w:tr>
      <w:tr w:rsidR="00D23886">
        <w:trPr>
          <w:trHeight w:val="312"/>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A1项目立项</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（4分）</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A101立项合规</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项目立项是否符合法律法规、相关政策、用于反映和考核项目立项合规情况：</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①项目立项是否符合国家法律法规、国民经济发展规划和相关政策；</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②项目立项是否符合行业发展规划和政策要求。</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内容符合国家基层医疗体系建设的法律法规、可持续发展规划；符合《“十三五”深化医药卫生体制改革规划》、《“健康中国2030”规划纲要》中关于建立科学合理的分级诊疗制度、建立高效运行的全民医疗保障制度等内容。符合《关于加强基层医疗卫生机构绩效考核的指导意见（试行）》（国卫办基层发〔2020〕9号）、《关于做好2021年基本公共卫生服务项目工作的通知》（国卫基层发〔2021〕23号）、《国家卫生健康委办公厅关于做好2021年基本药物制度补助项目工作的通知》中关于落实深化医改重点工作任务，进一步提高基层医疗卫生机构服务质量和效率等内容。</w:t>
            </w:r>
          </w:p>
        </w:tc>
      </w:tr>
      <w:tr w:rsidR="00D23886">
        <w:trPr>
          <w:trHeight w:val="132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312"/>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A102项目职责</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项目立项是否契合部门职责，用于反映和考核项目立项职责情况：</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①项目立项是否与部门职责范围相符，属于部门履职所需；</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②项目是否与相关部门同类项目或部门内部相关项目存在政策交叉重复。</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根据《西青区深化医药卫生体制改革建立优质高效医疗卫生服务体系暨区域医疗卫生服务能力提升工程实施方案》（西青政发办【2017】57号），该项目属于西青区卫健委重点推进项目，属于相关部门履职所需；该项目属于独立项目与部门其他项目不存在政策交叉重复。</w:t>
            </w:r>
          </w:p>
        </w:tc>
      </w:tr>
      <w:tr w:rsidR="00D23886">
        <w:trPr>
          <w:trHeight w:val="98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312"/>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A2绩效目标（6分）</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A201绩效目标</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明确性</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依据绩效目标设定的绩效指标是否清晰、细化、可衡量等，用以反映和考核项目绩效目标的明细化情况：</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①是否通过清晰、可衡量的指标值予以体现；</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②绩效目标申报表列式维度是否健全。</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根据《西青区深化医药卫生体制改革建立优质高效医疗卫生服务体系暨区域医疗卫生服务能力提升工程实施方案》（西青政发办【2017】57号）中关于筑底项目的标准，绩效目标包含建立站点数量质量、医务人员数量、运行费用等多种维度，目标清晰，可衡量。目标申报表列示的维度健全。</w:t>
            </w:r>
          </w:p>
        </w:tc>
      </w:tr>
      <w:tr w:rsidR="00D23886">
        <w:trPr>
          <w:trHeight w:val="92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312"/>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A202绩效目标</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合理性</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项目所设定的绩效目标是否依据充分，是否符合客观实际，用以反映和考核项目绩效目标与项目实施的相符情况：</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①是否将项目绩效目标细化分解为具体的绩效指标；</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②项目绩效目标与实际工作内容是否具有相关性；</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③项目预期产出效益和效果是否符合正常的业绩水平；</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④是否与预算确定的项目投资额或资金量相匹配。</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具备一个要点实际值25%权重分。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根据《西青区深化医药卫生体制改革建立优质高效医疗卫生服务体系暨区域医疗卫生服务能力提升工程实施方案》（西青政发办【2017】57号）中关于筑底项目的标准，该项目绩效目标已经细化分解到具体的绩效目标涵盖产出、效益、满意度等等，绩效目标与实际工作内容具备相关性，预期的产出效益效果符合正常的业绩水平；与预算申报时确定的项目投资额匹配。</w:t>
            </w:r>
          </w:p>
        </w:tc>
      </w:tr>
      <w:tr w:rsidR="00D23886">
        <w:trPr>
          <w:trHeight w:val="312"/>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312"/>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312"/>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720"/>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A3规划数量</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（9分）</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A301站点预期完成率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用以反映和考评部门（单位）站点预期完成情况。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站点规划率=2021预算站点运行数量/总规划站点数量*分值*100%，该项分值3分，按公式计算得分。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1.96</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该项目在2021年度预算站点运行数量为72个（西青财请【2021】88号），筑底项目总规划站点数量110个（西青政办发【2017】57号），该项得分为72/110*3*100%=1.96。</w:t>
            </w:r>
          </w:p>
        </w:tc>
      </w:tr>
      <w:tr w:rsidR="00D23886">
        <w:trPr>
          <w:trHeight w:val="9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A302人员预期完成率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用以反映和考评部门（单位）人员预期完成情况。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人员规划率=2021年预算站点人员数量/总规划人员数量*分值*100%，该项分值3分，按公式计算得分。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1.45</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该项目在2021年度预算上报站点人员数量为319人（西青财请【2021】88号），筑底项目总规划人员数量660人（西青政办发【2017】57号），该项得分为319/660*3*100%=1.45。</w:t>
            </w:r>
          </w:p>
        </w:tc>
      </w:tr>
      <w:tr w:rsidR="00D23886">
        <w:trPr>
          <w:trHeight w:val="21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A303运行费用预期完成率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用以反映和考评部门（单位）运行费用预期年度目标完成情况。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运行费用规划率=2021年预算运行费用/年度总规划运行费用*分值*100%，该项分值3分，按公式计算得分。</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注：运行费用：用于社区服务社区卫生服务站开展基本医疗和基本公共卫生服务发生的水、电、采暖、通信、工本费用，以及必要的常规诊疗设备更新费用。</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1.96</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该项目预算上报运行费用216万（西青财请【2021】88号），根据年度筑底项目总规划运行费用330万（西青政办发【2017】57号），该项目得分为216/330*3*100%=1.96。</w:t>
            </w:r>
          </w:p>
        </w:tc>
      </w:tr>
      <w:tr w:rsidR="00D23886">
        <w:trPr>
          <w:trHeight w:val="660"/>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A4预算编制</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（7分）</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A401预算范围合规性</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项目预算测算内容是否符合相关政策文件规定范围：</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①预算内容是否符合相关政策文件规定范围；</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②预算内容是否存在重复测算政策规定内的内容。</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预算内容符合《天津市西青区人民政府办公室关于印发西青区深化医药卫生体制改革建立优质高效医疗卫生服务体系暨区域医疗卫生服务能力提升工程实施方案的通知》中规定的范围，不存在重复测算政策中规定的相关内容。</w:t>
            </w: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A402预算标准合理性</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项目预算测算项目支出标准是否符合相关政策制度或行业、领域规定：</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①预算测算内容是否符合相关政策文件规定；</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②预算测算是否符合上级管理部门的标准。</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根据《天津市西青区人民政府办公室关于印发西青区深化医药卫生体制改革建立优质高效医疗卫生服务体系暨区域医疗卫生服务能力提升工程实施方案的通知》中关于筑底项目的相关目标制定预算标准，预算标准符合政策规定，符合西青区人民政府对于筑底项目的相关标准。</w:t>
            </w: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A403预算测算数据客观性</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项目预算测算数据是否客观、真实、准确：</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①预算测算数据是否符合客观需求，与历史数据有可比性；</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②预算测算数据提供是否有合规佐证依据。</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该项目预算测算的数据涵盖人员工资、乡医补助、运行费用等，与西青区筑底项目以前年度开展的数据测算标准一致，具备可比性；涵盖人员工资、站点运行费用等尚未具备合理的测算佐证依据，扣1分。</w:t>
            </w: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A404预算测算过程细化度</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测算过程是否细化清晰：</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 xml:space="preserve">①预算是否按照项目内容，包括人力、服务、资本性等各类支出，分别测算成本； </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②预算是否根据事权划分准确核定本级财政支出。</w:t>
            </w:r>
          </w:p>
        </w:tc>
        <w:tc>
          <w:tcPr>
            <w:tcW w:w="6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具备一个要点实际值50%权重分。</w:t>
            </w:r>
          </w:p>
        </w:tc>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159"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该项目测算的细化程度，涵盖人员经费、运行费用等，但是运行费用按照年度单个站点3万元补助，并未有按照站点规模、相关区域情况等进行细化测算，扣1分；预算根据事权划分为本级财政支出。</w:t>
            </w:r>
          </w:p>
        </w:tc>
      </w:tr>
      <w:tr w:rsidR="00D23886">
        <w:trPr>
          <w:trHeight w:val="66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1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6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2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159"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bl>
    <w:p w:rsidR="00D23886" w:rsidRDefault="00D23886" w:rsidP="00AE3453">
      <w:pPr>
        <w:snapToGrid w:val="0"/>
        <w:spacing w:beforeLines="50" w:line="360" w:lineRule="auto"/>
        <w:rPr>
          <w:rFonts w:ascii="Times New Roman" w:eastAsia="宋体" w:hAnsi="Times New Roman" w:cs="Times New Roman"/>
          <w:b/>
          <w:bCs/>
          <w:sz w:val="24"/>
          <w:szCs w:val="24"/>
        </w:rPr>
      </w:pPr>
    </w:p>
    <w:p w:rsidR="00D23886" w:rsidRDefault="007B2FA1" w:rsidP="00AE3453">
      <w:pPr>
        <w:snapToGrid w:val="0"/>
        <w:spacing w:beforeLines="50" w:line="360" w:lineRule="auto"/>
        <w:ind w:firstLineChars="202" w:firstLine="487"/>
        <w:rPr>
          <w:rFonts w:ascii="Times New Roman" w:eastAsia="宋体" w:hAnsi="Times New Roman" w:cs="Times New Roman"/>
          <w:b/>
          <w:bCs/>
          <w:sz w:val="24"/>
          <w:szCs w:val="24"/>
        </w:rPr>
      </w:pPr>
      <w:r>
        <w:rPr>
          <w:rFonts w:ascii="Times New Roman" w:eastAsia="宋体" w:hAnsi="Times New Roman" w:cs="Times New Roman"/>
          <w:b/>
          <w:bCs/>
          <w:sz w:val="24"/>
          <w:szCs w:val="24"/>
        </w:rPr>
        <w:t>1.1</w:t>
      </w:r>
      <w:r>
        <w:rPr>
          <w:rFonts w:ascii="Times New Roman" w:eastAsia="宋体" w:hAnsi="Times New Roman" w:cs="Times New Roman"/>
          <w:b/>
          <w:bCs/>
          <w:sz w:val="24"/>
          <w:szCs w:val="24"/>
        </w:rPr>
        <w:t>项目立项</w:t>
      </w:r>
    </w:p>
    <w:p w:rsidR="00D23886" w:rsidRDefault="007B2FA1">
      <w:pPr>
        <w:snapToGrid w:val="0"/>
        <w:spacing w:line="360" w:lineRule="auto"/>
        <w:ind w:firstLineChars="202" w:firstLine="487"/>
        <w:rPr>
          <w:rFonts w:ascii="Times New Roman" w:eastAsia="宋体" w:hAnsi="Times New Roman" w:cs="Times New Roman"/>
          <w:b/>
          <w:bCs/>
          <w:sz w:val="24"/>
          <w:szCs w:val="24"/>
        </w:rPr>
      </w:pPr>
      <w:r>
        <w:rPr>
          <w:rFonts w:ascii="Times New Roman" w:eastAsia="宋体" w:hAnsi="Times New Roman" w:cs="Times New Roman"/>
          <w:b/>
          <w:bCs/>
          <w:sz w:val="24"/>
          <w:szCs w:val="24"/>
        </w:rPr>
        <w:t>A101</w:t>
      </w:r>
      <w:r>
        <w:rPr>
          <w:rFonts w:ascii="Times New Roman" w:eastAsia="宋体" w:hAnsi="Times New Roman" w:cs="Times New Roman" w:hint="eastAsia"/>
          <w:b/>
          <w:bCs/>
          <w:sz w:val="24"/>
          <w:szCs w:val="24"/>
        </w:rPr>
        <w:t>立项合规</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该指标主要反映项目的立项是否符合国家法律法规、国民经济发展规划和相关政策，是否符合行业发展规划和政策要求，以考核立项的合规性。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项目内容符合国家基层医疗体系建设的法律法规、可持续发展规划；符合《“十三五”深化医药卫生体制改革规划》、《“健康中国</w:t>
      </w:r>
      <w:r>
        <w:rPr>
          <w:rFonts w:ascii="Times New Roman" w:eastAsia="宋体" w:hAnsi="Times New Roman" w:cs="Times New Roman" w:hint="eastAsia"/>
          <w:sz w:val="24"/>
          <w:szCs w:val="24"/>
        </w:rPr>
        <w:t>2030</w:t>
      </w:r>
      <w:r>
        <w:rPr>
          <w:rFonts w:ascii="Times New Roman" w:eastAsia="宋体" w:hAnsi="Times New Roman" w:cs="Times New Roman" w:hint="eastAsia"/>
          <w:sz w:val="24"/>
          <w:szCs w:val="24"/>
        </w:rPr>
        <w:t>”规划纲要》中关于建立科学合理的分级诊疗制度、建立高效运行的全民医疗保障制度等内容。符合《关于加强基层医疗卫生机构绩效考核的指导意见（试行）》（国卫办基层发〔</w:t>
      </w:r>
      <w:r>
        <w:rPr>
          <w:rFonts w:ascii="Times New Roman" w:eastAsia="宋体" w:hAnsi="Times New Roman" w:cs="Times New Roman" w:hint="eastAsia"/>
          <w:sz w:val="24"/>
          <w:szCs w:val="24"/>
        </w:rPr>
        <w:t>2020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号）、《关于做好</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年基本公共卫生服务项目工作的通知》（国卫基层发〔</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23</w:t>
      </w:r>
      <w:r>
        <w:rPr>
          <w:rFonts w:ascii="Times New Roman" w:eastAsia="宋体" w:hAnsi="Times New Roman" w:cs="Times New Roman" w:hint="eastAsia"/>
          <w:sz w:val="24"/>
          <w:szCs w:val="24"/>
        </w:rPr>
        <w:t>号）、《国家卫生健康委办公厅关于做好</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年基本药物制度补助项目工作的通知》中关于落实深化医改重点工作任务，进一步提高基层医疗卫生机构服务质量和效率等内容。</w:t>
      </w:r>
      <w:r>
        <w:rPr>
          <w:rFonts w:ascii="Times New Roman" w:eastAsia="宋体" w:hAnsi="Times New Roman" w:cs="Times New Roman"/>
          <w:sz w:val="24"/>
          <w:szCs w:val="24"/>
        </w:rPr>
        <w:t>与地区发展政策和优先发展重点相符合，</w:t>
      </w:r>
      <w:r>
        <w:rPr>
          <w:rFonts w:ascii="Times New Roman" w:eastAsia="宋体" w:hAnsi="Times New Roman" w:cs="Times New Roman" w:hint="eastAsia"/>
          <w:sz w:val="24"/>
          <w:szCs w:val="24"/>
        </w:rPr>
        <w:t>社区服务站建设，保障了社区服务站编外人员工资待遇，夯实三级医疗卫生服务体系网底，是为群众提供方便、价廉、优质、安全的医疗卫生服务的重要举措。</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A102</w:t>
      </w:r>
      <w:r>
        <w:rPr>
          <w:rFonts w:ascii="Times New Roman" w:eastAsia="宋体" w:hAnsi="Times New Roman" w:cs="Times New Roman" w:hint="eastAsia"/>
          <w:b/>
          <w:bCs/>
          <w:sz w:val="24"/>
          <w:szCs w:val="24"/>
        </w:rPr>
        <w:t>项目职责</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项目立项是否契合部门职责，用于反映和考核项目立项职责情况</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该项目的设立与</w:t>
      </w:r>
      <w:r>
        <w:rPr>
          <w:rFonts w:ascii="Times New Roman" w:eastAsia="宋体" w:hAnsi="Times New Roman" w:cs="Times New Roman" w:hint="eastAsia"/>
          <w:sz w:val="24"/>
          <w:szCs w:val="24"/>
        </w:rPr>
        <w:t>西青区卫健委的</w:t>
      </w:r>
      <w:r>
        <w:rPr>
          <w:rFonts w:ascii="Times New Roman" w:eastAsia="宋体" w:hAnsi="Times New Roman" w:cs="Times New Roman"/>
          <w:sz w:val="24"/>
          <w:szCs w:val="24"/>
        </w:rPr>
        <w:t>职能相符合，符合</w:t>
      </w:r>
      <w:r>
        <w:rPr>
          <w:rFonts w:ascii="Times New Roman" w:eastAsia="宋体" w:hAnsi="Times New Roman" w:cs="Times New Roman" w:hint="eastAsia"/>
          <w:sz w:val="24"/>
          <w:szCs w:val="24"/>
        </w:rPr>
        <w:t>西青区卫健委</w:t>
      </w:r>
      <w:r>
        <w:rPr>
          <w:rFonts w:ascii="Times New Roman" w:eastAsia="宋体" w:hAnsi="Times New Roman" w:cs="Times New Roman"/>
          <w:sz w:val="24"/>
          <w:szCs w:val="24"/>
        </w:rPr>
        <w:t>的管理和</w:t>
      </w:r>
      <w:r>
        <w:rPr>
          <w:rFonts w:ascii="Times New Roman" w:eastAsia="宋体" w:hAnsi="Times New Roman" w:cs="Times New Roman" w:hint="eastAsia"/>
          <w:sz w:val="24"/>
          <w:szCs w:val="24"/>
        </w:rPr>
        <w:t>社会</w:t>
      </w:r>
      <w:r>
        <w:rPr>
          <w:rFonts w:ascii="Times New Roman" w:eastAsia="宋体" w:hAnsi="Times New Roman" w:cs="Times New Roman"/>
          <w:sz w:val="24"/>
          <w:szCs w:val="24"/>
        </w:rPr>
        <w:t>职能，该项目立项依据充分。</w:t>
      </w:r>
      <w:r>
        <w:rPr>
          <w:rFonts w:ascii="Times New Roman" w:eastAsia="宋体" w:hAnsi="Times New Roman" w:cs="Times New Roman" w:hint="eastAsia"/>
          <w:sz w:val="24"/>
          <w:szCs w:val="24"/>
        </w:rPr>
        <w:t>评价过程中，未发现项目存在与相关部门同类项目或部门内部相关项目存在政策交叉重复的情形。</w:t>
      </w:r>
    </w:p>
    <w:p w:rsidR="00D23886" w:rsidRDefault="007B2FA1">
      <w:pPr>
        <w:snapToGrid w:val="0"/>
        <w:spacing w:line="360" w:lineRule="auto"/>
        <w:ind w:firstLineChars="200" w:firstLine="480"/>
        <w:jc w:val="left"/>
        <w:rPr>
          <w:rFonts w:ascii="Times New Roman" w:eastAsia="宋体" w:hAnsi="Times New Roman" w:cs="Times New Roman"/>
          <w:color w:val="000000"/>
          <w:sz w:val="24"/>
          <w:szCs w:val="24"/>
        </w:rPr>
      </w:pPr>
      <w:r>
        <w:rPr>
          <w:rFonts w:ascii="Times New Roman" w:eastAsia="宋体" w:hAnsi="Times New Roman" w:cs="Times New Roman"/>
          <w:sz w:val="24"/>
          <w:szCs w:val="24"/>
        </w:rPr>
        <w:t>该项指标</w:t>
      </w:r>
      <w:r>
        <w:rPr>
          <w:rFonts w:ascii="Times New Roman" w:eastAsia="宋体" w:hAnsi="Times New Roman" w:cs="Times New Roman"/>
          <w:color w:val="000000"/>
          <w:sz w:val="24"/>
          <w:szCs w:val="24"/>
        </w:rPr>
        <w:t>满分</w:t>
      </w:r>
      <w:r>
        <w:rPr>
          <w:rFonts w:ascii="Times New Roman" w:eastAsia="宋体" w:hAnsi="Times New Roman" w:cs="Times New Roman"/>
          <w:color w:val="000000"/>
          <w:sz w:val="24"/>
          <w:szCs w:val="24"/>
        </w:rPr>
        <w:t>2</w:t>
      </w:r>
      <w:r>
        <w:rPr>
          <w:rFonts w:ascii="Times New Roman" w:eastAsia="宋体" w:hAnsi="Times New Roman" w:cs="Times New Roman"/>
          <w:color w:val="000000"/>
          <w:sz w:val="24"/>
          <w:szCs w:val="24"/>
        </w:rPr>
        <w:t>分，根据评分标准得</w:t>
      </w:r>
      <w:r>
        <w:rPr>
          <w:rFonts w:ascii="Times New Roman" w:eastAsia="宋体" w:hAnsi="Times New Roman" w:cs="Times New Roman"/>
          <w:color w:val="000000"/>
          <w:sz w:val="24"/>
          <w:szCs w:val="24"/>
        </w:rPr>
        <w:t>2</w:t>
      </w:r>
      <w:r>
        <w:rPr>
          <w:rFonts w:ascii="Times New Roman" w:eastAsia="宋体" w:hAnsi="Times New Roman" w:cs="Times New Roman"/>
          <w:color w:val="000000"/>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1.2</w:t>
      </w:r>
      <w:r>
        <w:rPr>
          <w:rFonts w:ascii="Times New Roman" w:eastAsia="宋体" w:hAnsi="Times New Roman" w:cs="Times New Roman" w:hint="eastAsia"/>
          <w:b/>
          <w:bCs/>
          <w:color w:val="000000"/>
          <w:sz w:val="24"/>
          <w:szCs w:val="24"/>
        </w:rPr>
        <w:t>绩效</w:t>
      </w:r>
      <w:r>
        <w:rPr>
          <w:rFonts w:ascii="Times New Roman" w:eastAsia="宋体" w:hAnsi="Times New Roman" w:cs="Times New Roman"/>
          <w:b/>
          <w:bCs/>
          <w:color w:val="000000"/>
          <w:sz w:val="24"/>
          <w:szCs w:val="24"/>
        </w:rPr>
        <w:t>目标</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A201</w:t>
      </w:r>
      <w:r>
        <w:rPr>
          <w:rFonts w:ascii="Times New Roman" w:eastAsia="宋体" w:hAnsi="Times New Roman" w:cs="Times New Roman"/>
          <w:b/>
          <w:bCs/>
          <w:sz w:val="24"/>
          <w:szCs w:val="24"/>
        </w:rPr>
        <w:t>绩效目标</w:t>
      </w:r>
      <w:r>
        <w:rPr>
          <w:rFonts w:ascii="Times New Roman" w:eastAsia="宋体" w:hAnsi="Times New Roman" w:cs="Times New Roman" w:hint="eastAsia"/>
          <w:b/>
          <w:bCs/>
          <w:sz w:val="24"/>
          <w:szCs w:val="24"/>
        </w:rPr>
        <w:t>明确性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该指标主要反映</w:t>
      </w:r>
      <w:r>
        <w:rPr>
          <w:rFonts w:ascii="Times New Roman" w:eastAsia="宋体" w:hAnsi="Times New Roman" w:cs="Times New Roman" w:hint="eastAsia"/>
          <w:sz w:val="24"/>
          <w:szCs w:val="24"/>
        </w:rPr>
        <w:t>依据绩效目标设定的绩效指标是否清晰、细化、可衡量等，用以反映和考核项目绩效目标的明细化情况。</w:t>
      </w:r>
      <w:r>
        <w:rPr>
          <w:rFonts w:ascii="Times New Roman" w:eastAsia="宋体" w:hAnsi="Times New Roman" w:cs="Times New Roman" w:hint="eastAsia"/>
          <w:sz w:val="24"/>
          <w:szCs w:val="24"/>
        </w:rPr>
        <w:t xml:space="preserve"> </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根据《西青政发办【</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号》中关于筑底项目的标准，绩效目标包含建立站点数量质量、医务人员数量、运行费用等多种维度，目标清晰，可衡量。目标申报表列示的维度健全。</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A202</w:t>
      </w:r>
      <w:r>
        <w:rPr>
          <w:rFonts w:ascii="Times New Roman" w:eastAsia="宋体" w:hAnsi="Times New Roman" w:cs="Times New Roman"/>
          <w:b/>
          <w:bCs/>
          <w:sz w:val="24"/>
          <w:szCs w:val="24"/>
        </w:rPr>
        <w:t>绩效目标</w:t>
      </w:r>
      <w:r>
        <w:rPr>
          <w:rFonts w:ascii="Times New Roman" w:eastAsia="宋体" w:hAnsi="Times New Roman" w:cs="Times New Roman" w:hint="eastAsia"/>
          <w:b/>
          <w:bCs/>
          <w:sz w:val="24"/>
          <w:szCs w:val="24"/>
        </w:rPr>
        <w:t>合理性</w:t>
      </w:r>
    </w:p>
    <w:p w:rsidR="00D23886" w:rsidRDefault="007B2FA1">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sz w:val="24"/>
          <w:szCs w:val="24"/>
        </w:rPr>
        <w:t>该指标主要反映</w:t>
      </w:r>
      <w:r>
        <w:rPr>
          <w:rFonts w:ascii="Times New Roman" w:eastAsia="宋体" w:hAnsi="Times New Roman" w:cs="Times New Roman" w:hint="eastAsia"/>
          <w:color w:val="000000"/>
          <w:sz w:val="24"/>
          <w:szCs w:val="24"/>
        </w:rPr>
        <w:t>项目所设定的绩效目标是否依据充分，是否符合客观实际，用以反映和考核项目绩效目标与项目实施的相符情况。</w:t>
      </w:r>
    </w:p>
    <w:p w:rsidR="00D23886" w:rsidRDefault="007B2FA1">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根据《西青政发办【</w:t>
      </w:r>
      <w:r>
        <w:rPr>
          <w:rFonts w:ascii="Times New Roman" w:eastAsia="宋体" w:hAnsi="Times New Roman" w:cs="Times New Roman" w:hint="eastAsia"/>
          <w:color w:val="000000"/>
          <w:sz w:val="24"/>
          <w:szCs w:val="24"/>
        </w:rPr>
        <w:t>2017</w:t>
      </w:r>
      <w:r>
        <w:rPr>
          <w:rFonts w:ascii="Times New Roman" w:eastAsia="宋体" w:hAnsi="Times New Roman" w:cs="Times New Roman" w:hint="eastAsia"/>
          <w:color w:val="000000"/>
          <w:sz w:val="24"/>
          <w:szCs w:val="24"/>
        </w:rPr>
        <w:t>】</w:t>
      </w:r>
      <w:r>
        <w:rPr>
          <w:rFonts w:ascii="Times New Roman" w:eastAsia="宋体" w:hAnsi="Times New Roman" w:cs="Times New Roman" w:hint="eastAsia"/>
          <w:color w:val="000000"/>
          <w:sz w:val="24"/>
          <w:szCs w:val="24"/>
        </w:rPr>
        <w:t>57</w:t>
      </w:r>
      <w:r>
        <w:rPr>
          <w:rFonts w:ascii="Times New Roman" w:eastAsia="宋体" w:hAnsi="Times New Roman" w:cs="Times New Roman" w:hint="eastAsia"/>
          <w:color w:val="000000"/>
          <w:sz w:val="24"/>
          <w:szCs w:val="24"/>
        </w:rPr>
        <w:t>号》中关于筑底项目的标准，该项目绩效目标已经细化分解到具体的绩效目标涵盖产出、效益、满意度等等，绩效目标与实际工作内容具备相关性，预期的产出效益效果符合正常的业绩水平；与预算申报时候确定的项目投资额匹配。</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4</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1.3</w:t>
      </w:r>
      <w:r>
        <w:rPr>
          <w:rFonts w:ascii="Times New Roman" w:eastAsia="宋体" w:hAnsi="Times New Roman" w:cs="Times New Roman" w:hint="eastAsia"/>
          <w:b/>
          <w:bCs/>
          <w:sz w:val="24"/>
          <w:szCs w:val="24"/>
        </w:rPr>
        <w:t>规划数量</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A301</w:t>
      </w:r>
      <w:r>
        <w:rPr>
          <w:rFonts w:ascii="Times New Roman" w:eastAsia="宋体" w:hAnsi="Times New Roman" w:cs="Times New Roman" w:hint="eastAsia"/>
          <w:b/>
          <w:bCs/>
          <w:sz w:val="24"/>
          <w:szCs w:val="24"/>
        </w:rPr>
        <w:t>站点预期完成率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w:t>
      </w:r>
      <w:r>
        <w:rPr>
          <w:rFonts w:ascii="Times New Roman" w:eastAsia="宋体" w:hAnsi="Times New Roman" w:cs="Times New Roman" w:hint="eastAsia"/>
          <w:sz w:val="24"/>
          <w:szCs w:val="24"/>
        </w:rPr>
        <w:t>用以反映和考评部门（单位）站点预期完成情况。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年预算申报站点数量和规划站点数量测算站点规划率：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站点预期完成率</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预算站点运行数量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总规划站点数量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分值</w:t>
      </w:r>
      <w:r>
        <w:rPr>
          <w:rFonts w:ascii="Times New Roman" w:eastAsia="宋体" w:hAnsi="Times New Roman" w:cs="Times New Roman" w:hint="eastAsia"/>
          <w:sz w:val="24"/>
          <w:szCs w:val="24"/>
        </w:rPr>
        <w:t>*100%</w:t>
      </w:r>
    </w:p>
    <w:p w:rsidR="00D23886" w:rsidRDefault="007B2FA1">
      <w:pPr>
        <w:pStyle w:val="a0"/>
        <w:spacing w:line="360" w:lineRule="auto"/>
        <w:ind w:firstLineChars="200" w:firstLine="480"/>
        <w:rPr>
          <w:rFonts w:hAnsi="Times New Roman" w:cs="Times New Roman"/>
          <w:sz w:val="24"/>
        </w:rPr>
      </w:pPr>
      <w:r>
        <w:rPr>
          <w:rFonts w:hAnsi="Times New Roman" w:cs="Times New Roman" w:hint="eastAsia"/>
          <w:sz w:val="24"/>
        </w:rPr>
        <w:t>该项目在</w:t>
      </w:r>
      <w:r>
        <w:rPr>
          <w:rFonts w:hAnsi="Times New Roman" w:cs="Times New Roman" w:hint="eastAsia"/>
          <w:sz w:val="24"/>
        </w:rPr>
        <w:t>2021</w:t>
      </w:r>
      <w:r>
        <w:rPr>
          <w:rFonts w:hAnsi="Times New Roman" w:cs="Times New Roman" w:hint="eastAsia"/>
          <w:sz w:val="24"/>
        </w:rPr>
        <w:t>年度预算开放站点数量为</w:t>
      </w:r>
      <w:r>
        <w:rPr>
          <w:rFonts w:hAnsi="Times New Roman" w:cs="Times New Roman" w:hint="eastAsia"/>
          <w:sz w:val="24"/>
        </w:rPr>
        <w:t>72</w:t>
      </w:r>
      <w:r>
        <w:rPr>
          <w:rFonts w:hAnsi="Times New Roman" w:cs="Times New Roman" w:hint="eastAsia"/>
          <w:sz w:val="24"/>
        </w:rPr>
        <w:t>个（西青财请【</w:t>
      </w:r>
      <w:r>
        <w:rPr>
          <w:rFonts w:hAnsi="Times New Roman" w:cs="Times New Roman" w:hint="eastAsia"/>
          <w:sz w:val="24"/>
        </w:rPr>
        <w:t>2021</w:t>
      </w:r>
      <w:r>
        <w:rPr>
          <w:rFonts w:hAnsi="Times New Roman" w:cs="Times New Roman" w:hint="eastAsia"/>
          <w:sz w:val="24"/>
        </w:rPr>
        <w:t>】</w:t>
      </w:r>
      <w:r>
        <w:rPr>
          <w:rFonts w:hAnsi="Times New Roman" w:cs="Times New Roman" w:hint="eastAsia"/>
          <w:sz w:val="24"/>
        </w:rPr>
        <w:t>88</w:t>
      </w:r>
      <w:r>
        <w:rPr>
          <w:rFonts w:hAnsi="Times New Roman" w:cs="Times New Roman" w:hint="eastAsia"/>
          <w:sz w:val="24"/>
        </w:rPr>
        <w:t>号），筑底项目总规划站点数量</w:t>
      </w:r>
      <w:r>
        <w:rPr>
          <w:rFonts w:hAnsi="Times New Roman" w:cs="Times New Roman" w:hint="eastAsia"/>
          <w:sz w:val="24"/>
        </w:rPr>
        <w:t>110</w:t>
      </w:r>
      <w:r>
        <w:rPr>
          <w:rFonts w:hAnsi="Times New Roman" w:cs="Times New Roman" w:hint="eastAsia"/>
          <w:sz w:val="24"/>
        </w:rPr>
        <w:t>个（西青政办发【</w:t>
      </w:r>
      <w:r>
        <w:rPr>
          <w:rFonts w:hAnsi="Times New Roman" w:cs="Times New Roman" w:hint="eastAsia"/>
          <w:sz w:val="24"/>
        </w:rPr>
        <w:t>2017</w:t>
      </w:r>
      <w:r>
        <w:rPr>
          <w:rFonts w:hAnsi="Times New Roman" w:cs="Times New Roman" w:hint="eastAsia"/>
          <w:sz w:val="24"/>
        </w:rPr>
        <w:t>】</w:t>
      </w:r>
      <w:r>
        <w:rPr>
          <w:rFonts w:hAnsi="Times New Roman" w:cs="Times New Roman" w:hint="eastAsia"/>
          <w:sz w:val="24"/>
        </w:rPr>
        <w:t>57</w:t>
      </w:r>
      <w:r>
        <w:rPr>
          <w:rFonts w:hAnsi="Times New Roman" w:cs="Times New Roman" w:hint="eastAsia"/>
          <w:sz w:val="24"/>
        </w:rPr>
        <w:t>号），该项得分为</w:t>
      </w:r>
      <w:r>
        <w:rPr>
          <w:rFonts w:hAnsi="Times New Roman" w:cs="Times New Roman" w:hint="eastAsia"/>
          <w:sz w:val="24"/>
        </w:rPr>
        <w:t>72/110*3*100%=1.96</w:t>
      </w:r>
      <w:r>
        <w:rPr>
          <w:rFonts w:hAnsi="Times New Roman" w:cs="Times New Roman" w:hint="eastAsia"/>
          <w:sz w:val="24"/>
        </w:rPr>
        <w:t>。</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1.96</w:t>
      </w:r>
      <w:r>
        <w:rPr>
          <w:rFonts w:ascii="Times New Roman" w:eastAsia="宋体" w:hAnsi="Times New Roman" w:cs="Times New Roman" w:hint="eastAsia"/>
          <w:sz w:val="24"/>
          <w:szCs w:val="24"/>
        </w:rPr>
        <w:t>分。</w:t>
      </w:r>
    </w:p>
    <w:p w:rsidR="00D23886" w:rsidRDefault="007B2FA1">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hint="eastAsia"/>
          <w:b/>
          <w:bCs/>
          <w:sz w:val="24"/>
          <w:szCs w:val="24"/>
        </w:rPr>
        <w:t xml:space="preserve"> A302</w:t>
      </w:r>
      <w:r>
        <w:rPr>
          <w:rFonts w:ascii="Times New Roman" w:eastAsia="宋体" w:hAnsi="Times New Roman" w:cs="Times New Roman" w:hint="eastAsia"/>
          <w:b/>
          <w:bCs/>
          <w:sz w:val="24"/>
          <w:szCs w:val="24"/>
        </w:rPr>
        <w:t>人员预期完成率</w:t>
      </w:r>
    </w:p>
    <w:p w:rsidR="00D23886" w:rsidRDefault="007B2FA1">
      <w:pPr>
        <w:pStyle w:val="a0"/>
        <w:spacing w:after="0" w:line="360" w:lineRule="auto"/>
        <w:ind w:firstLineChars="200" w:firstLine="480"/>
        <w:rPr>
          <w:rFonts w:hAnsi="Times New Roman" w:cs="Times New Roman"/>
          <w:sz w:val="24"/>
        </w:rPr>
      </w:pPr>
      <w:r>
        <w:rPr>
          <w:rFonts w:hAnsi="Times New Roman" w:cs="Times New Roman" w:hint="eastAsia"/>
          <w:sz w:val="24"/>
        </w:rPr>
        <w:t>该指标</w:t>
      </w:r>
      <w:r>
        <w:rPr>
          <w:rFonts w:hAnsi="Times New Roman" w:cs="Times New Roman"/>
          <w:sz w:val="24"/>
        </w:rPr>
        <w:t>用以反映和考评部门（单位）人员预期完成情况。</w:t>
      </w:r>
    </w:p>
    <w:p w:rsidR="00D23886" w:rsidRDefault="007B2FA1">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年度预算申报站点人数和规划站点人数测算人员预期完成率：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人员预期完成率</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年预算站点人员数量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规划站点人员数量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分值</w:t>
      </w:r>
      <w:r>
        <w:rPr>
          <w:rFonts w:ascii="Times New Roman" w:eastAsia="宋体" w:hAnsi="Times New Roman" w:cs="Times New Roman" w:hint="eastAsia"/>
          <w:sz w:val="24"/>
          <w:szCs w:val="24"/>
        </w:rPr>
        <w:t>*100%</w:t>
      </w:r>
    </w:p>
    <w:p w:rsidR="00D23886" w:rsidRDefault="007B2FA1">
      <w:pPr>
        <w:pStyle w:val="a0"/>
        <w:spacing w:after="0" w:line="360" w:lineRule="auto"/>
        <w:rPr>
          <w:rFonts w:hAnsi="Times New Roman" w:cs="Times New Roman"/>
          <w:sz w:val="24"/>
        </w:rPr>
      </w:pPr>
      <w:r>
        <w:rPr>
          <w:rFonts w:hAnsi="Times New Roman" w:cs="Times New Roman" w:hint="eastAsia"/>
          <w:sz w:val="24"/>
        </w:rPr>
        <w:t xml:space="preserve">   </w:t>
      </w:r>
      <w:r>
        <w:rPr>
          <w:rFonts w:hAnsi="Times New Roman" w:cs="Times New Roman" w:hint="eastAsia"/>
          <w:sz w:val="24"/>
        </w:rPr>
        <w:t>该项目在</w:t>
      </w:r>
      <w:r>
        <w:rPr>
          <w:rFonts w:hAnsi="Times New Roman" w:cs="Times New Roman" w:hint="eastAsia"/>
          <w:sz w:val="24"/>
        </w:rPr>
        <w:t>2021</w:t>
      </w:r>
      <w:r>
        <w:rPr>
          <w:rFonts w:hAnsi="Times New Roman" w:cs="Times New Roman" w:hint="eastAsia"/>
          <w:sz w:val="24"/>
        </w:rPr>
        <w:t>年度预算上报站点人员数量为</w:t>
      </w:r>
      <w:r>
        <w:rPr>
          <w:rFonts w:hAnsi="Times New Roman" w:cs="Times New Roman" w:hint="eastAsia"/>
          <w:sz w:val="24"/>
        </w:rPr>
        <w:t>319</w:t>
      </w:r>
      <w:r>
        <w:rPr>
          <w:rFonts w:hAnsi="Times New Roman" w:cs="Times New Roman" w:hint="eastAsia"/>
          <w:sz w:val="24"/>
        </w:rPr>
        <w:t>人（西青财请【</w:t>
      </w:r>
      <w:r>
        <w:rPr>
          <w:rFonts w:hAnsi="Times New Roman" w:cs="Times New Roman" w:hint="eastAsia"/>
          <w:sz w:val="24"/>
        </w:rPr>
        <w:t>2021</w:t>
      </w:r>
      <w:r>
        <w:rPr>
          <w:rFonts w:hAnsi="Times New Roman" w:cs="Times New Roman" w:hint="eastAsia"/>
          <w:sz w:val="24"/>
        </w:rPr>
        <w:t>】</w:t>
      </w:r>
      <w:r>
        <w:rPr>
          <w:rFonts w:hAnsi="Times New Roman" w:cs="Times New Roman" w:hint="eastAsia"/>
          <w:sz w:val="24"/>
        </w:rPr>
        <w:t>88</w:t>
      </w:r>
      <w:r>
        <w:rPr>
          <w:rFonts w:hAnsi="Times New Roman" w:cs="Times New Roman" w:hint="eastAsia"/>
          <w:sz w:val="24"/>
        </w:rPr>
        <w:t>号），筑底项目规划站点人员数量</w:t>
      </w:r>
      <w:r>
        <w:rPr>
          <w:rFonts w:hAnsi="Times New Roman" w:cs="Times New Roman" w:hint="eastAsia"/>
          <w:sz w:val="24"/>
        </w:rPr>
        <w:t>660</w:t>
      </w:r>
      <w:r>
        <w:rPr>
          <w:rFonts w:hAnsi="Times New Roman" w:cs="Times New Roman" w:hint="eastAsia"/>
          <w:sz w:val="24"/>
        </w:rPr>
        <w:t>人（西青政办发【</w:t>
      </w:r>
      <w:r>
        <w:rPr>
          <w:rFonts w:hAnsi="Times New Roman" w:cs="Times New Roman" w:hint="eastAsia"/>
          <w:sz w:val="24"/>
        </w:rPr>
        <w:t>2017</w:t>
      </w:r>
      <w:r>
        <w:rPr>
          <w:rFonts w:hAnsi="Times New Roman" w:cs="Times New Roman" w:hint="eastAsia"/>
          <w:sz w:val="24"/>
        </w:rPr>
        <w:t>】</w:t>
      </w:r>
      <w:r>
        <w:rPr>
          <w:rFonts w:hAnsi="Times New Roman" w:cs="Times New Roman" w:hint="eastAsia"/>
          <w:sz w:val="24"/>
        </w:rPr>
        <w:t>57</w:t>
      </w:r>
      <w:r>
        <w:rPr>
          <w:rFonts w:hAnsi="Times New Roman" w:cs="Times New Roman" w:hint="eastAsia"/>
          <w:sz w:val="24"/>
        </w:rPr>
        <w:t>号），该项得分为</w:t>
      </w:r>
      <w:r>
        <w:rPr>
          <w:rFonts w:hAnsi="Times New Roman" w:cs="Times New Roman" w:hint="eastAsia"/>
          <w:sz w:val="24"/>
        </w:rPr>
        <w:t>319/660*3*100%=1.45</w:t>
      </w:r>
      <w:r>
        <w:rPr>
          <w:rFonts w:hAnsi="Times New Roman" w:cs="Times New Roman" w:hint="eastAsia"/>
          <w:sz w:val="24"/>
        </w:rPr>
        <w:t>。</w:t>
      </w:r>
    </w:p>
    <w:p w:rsidR="00D23886" w:rsidRDefault="007B2FA1">
      <w:pPr>
        <w:spacing w:line="360" w:lineRule="auto"/>
        <w:ind w:firstLineChars="200" w:firstLine="480"/>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1.45</w:t>
      </w:r>
      <w:r>
        <w:rPr>
          <w:rFonts w:ascii="Times New Roman" w:eastAsia="宋体" w:hAnsi="Times New Roman" w:cs="Times New Roman" w:hint="eastAsia"/>
          <w:sz w:val="24"/>
          <w:szCs w:val="24"/>
        </w:rPr>
        <w:t>分。</w:t>
      </w:r>
    </w:p>
    <w:p w:rsidR="00D23886" w:rsidRDefault="007B2FA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A3</w:t>
      </w:r>
      <w:r>
        <w:rPr>
          <w:rFonts w:ascii="Times New Roman" w:eastAsia="宋体" w:hAnsi="Times New Roman" w:cs="Times New Roman"/>
          <w:b/>
          <w:bCs/>
          <w:sz w:val="24"/>
          <w:szCs w:val="24"/>
        </w:rPr>
        <w:t>03</w:t>
      </w:r>
      <w:r>
        <w:rPr>
          <w:rFonts w:ascii="Times New Roman" w:eastAsia="宋体" w:hAnsi="Times New Roman" w:cs="Times New Roman"/>
          <w:b/>
          <w:bCs/>
          <w:sz w:val="24"/>
          <w:szCs w:val="24"/>
        </w:rPr>
        <w:t>运行费用规划率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w:t>
      </w:r>
      <w:r>
        <w:rPr>
          <w:rFonts w:ascii="Times New Roman" w:eastAsia="宋体" w:hAnsi="Times New Roman" w:cs="Times New Roman"/>
          <w:sz w:val="24"/>
          <w:szCs w:val="24"/>
        </w:rPr>
        <w:t>用以反映和考评部门（单位）运行费用预期年度目标完成情况。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年度预算申报运行费用和年度总规划运行费用测算运行费用规划率：</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运行费用规划率</w:t>
      </w:r>
      <w:r>
        <w:rPr>
          <w:rFonts w:ascii="Times New Roman" w:eastAsia="宋体" w:hAnsi="Times New Roman" w:cs="Times New Roman"/>
          <w:sz w:val="24"/>
          <w:szCs w:val="24"/>
        </w:rPr>
        <w:t>=2021</w:t>
      </w:r>
      <w:r>
        <w:rPr>
          <w:rFonts w:ascii="Times New Roman" w:eastAsia="宋体" w:hAnsi="Times New Roman" w:cs="Times New Roman"/>
          <w:sz w:val="24"/>
          <w:szCs w:val="24"/>
        </w:rPr>
        <w:t>年预算运行费用</w:t>
      </w:r>
      <w:r>
        <w:rPr>
          <w:rFonts w:ascii="Times New Roman" w:eastAsia="宋体" w:hAnsi="Times New Roman" w:cs="Times New Roman"/>
          <w:sz w:val="24"/>
          <w:szCs w:val="24"/>
        </w:rPr>
        <w:t>/</w:t>
      </w:r>
      <w:r>
        <w:rPr>
          <w:rFonts w:ascii="Times New Roman" w:eastAsia="宋体" w:hAnsi="Times New Roman" w:cs="Times New Roman" w:hint="eastAsia"/>
          <w:sz w:val="24"/>
          <w:szCs w:val="24"/>
        </w:rPr>
        <w:t>年度</w:t>
      </w:r>
      <w:r>
        <w:rPr>
          <w:rFonts w:ascii="Times New Roman" w:eastAsia="宋体" w:hAnsi="Times New Roman" w:cs="Times New Roman"/>
          <w:sz w:val="24"/>
          <w:szCs w:val="24"/>
        </w:rPr>
        <w:t>总规划运行费用</w:t>
      </w:r>
      <w:r>
        <w:rPr>
          <w:rFonts w:ascii="Times New Roman" w:eastAsia="宋体" w:hAnsi="Times New Roman" w:cs="Times New Roman"/>
          <w:sz w:val="24"/>
          <w:szCs w:val="24"/>
        </w:rPr>
        <w:t>*</w:t>
      </w:r>
      <w:r>
        <w:rPr>
          <w:rFonts w:ascii="Times New Roman" w:eastAsia="宋体" w:hAnsi="Times New Roman" w:cs="Times New Roman"/>
          <w:sz w:val="24"/>
          <w:szCs w:val="24"/>
        </w:rPr>
        <w:t>分值</w:t>
      </w:r>
      <w:r>
        <w:rPr>
          <w:rFonts w:ascii="Times New Roman" w:eastAsia="宋体" w:hAnsi="Times New Roman" w:cs="Times New Roman"/>
          <w:sz w:val="24"/>
          <w:szCs w:val="24"/>
        </w:rPr>
        <w:t>*100%</w:t>
      </w:r>
    </w:p>
    <w:p w:rsidR="00D23886" w:rsidRDefault="007B2FA1">
      <w:pPr>
        <w:pStyle w:val="a0"/>
        <w:spacing w:after="0" w:line="360" w:lineRule="auto"/>
        <w:ind w:firstLineChars="200" w:firstLine="480"/>
        <w:rPr>
          <w:rFonts w:hAnsi="Times New Roman" w:cs="Times New Roman"/>
          <w:sz w:val="24"/>
        </w:rPr>
      </w:pPr>
      <w:r>
        <w:rPr>
          <w:rFonts w:hAnsi="Times New Roman" w:cs="Times New Roman"/>
          <w:sz w:val="24"/>
        </w:rPr>
        <w:t>该项目预算上报运行费用</w:t>
      </w:r>
      <w:r>
        <w:rPr>
          <w:rFonts w:hAnsi="Times New Roman" w:cs="Times New Roman"/>
          <w:sz w:val="24"/>
        </w:rPr>
        <w:t>216</w:t>
      </w:r>
      <w:r>
        <w:rPr>
          <w:rFonts w:hAnsi="Times New Roman" w:cs="Times New Roman"/>
          <w:sz w:val="24"/>
        </w:rPr>
        <w:t>万（西青财请【</w:t>
      </w:r>
      <w:r>
        <w:rPr>
          <w:rFonts w:hAnsi="Times New Roman" w:cs="Times New Roman"/>
          <w:sz w:val="24"/>
        </w:rPr>
        <w:t>2021</w:t>
      </w:r>
      <w:r>
        <w:rPr>
          <w:rFonts w:hAnsi="Times New Roman" w:cs="Times New Roman"/>
          <w:sz w:val="24"/>
        </w:rPr>
        <w:t>】</w:t>
      </w:r>
      <w:r>
        <w:rPr>
          <w:rFonts w:hAnsi="Times New Roman" w:cs="Times New Roman"/>
          <w:sz w:val="24"/>
        </w:rPr>
        <w:t>88</w:t>
      </w:r>
      <w:r>
        <w:rPr>
          <w:rFonts w:hAnsi="Times New Roman" w:cs="Times New Roman"/>
          <w:sz w:val="24"/>
        </w:rPr>
        <w:t>号），根据筑底项目年度总规划运行费用</w:t>
      </w:r>
      <w:r>
        <w:rPr>
          <w:rFonts w:hAnsi="Times New Roman" w:cs="Times New Roman"/>
          <w:sz w:val="24"/>
        </w:rPr>
        <w:t>330</w:t>
      </w:r>
      <w:r>
        <w:rPr>
          <w:rFonts w:hAnsi="Times New Roman" w:cs="Times New Roman"/>
          <w:sz w:val="24"/>
        </w:rPr>
        <w:t>万（西青政办发【</w:t>
      </w:r>
      <w:r>
        <w:rPr>
          <w:rFonts w:hAnsi="Times New Roman" w:cs="Times New Roman"/>
          <w:sz w:val="24"/>
        </w:rPr>
        <w:t>2017</w:t>
      </w:r>
      <w:r>
        <w:rPr>
          <w:rFonts w:hAnsi="Times New Roman" w:cs="Times New Roman"/>
          <w:sz w:val="24"/>
        </w:rPr>
        <w:t>】</w:t>
      </w:r>
      <w:r>
        <w:rPr>
          <w:rFonts w:hAnsi="Times New Roman" w:cs="Times New Roman"/>
          <w:sz w:val="24"/>
        </w:rPr>
        <w:t>57</w:t>
      </w:r>
      <w:r>
        <w:rPr>
          <w:rFonts w:hAnsi="Times New Roman" w:cs="Times New Roman"/>
          <w:sz w:val="24"/>
        </w:rPr>
        <w:t>号），该项目得分为</w:t>
      </w:r>
      <w:r>
        <w:rPr>
          <w:rFonts w:hAnsi="Times New Roman" w:cs="Times New Roman"/>
          <w:sz w:val="24"/>
        </w:rPr>
        <w:t>216/330*3*100%=1.96</w:t>
      </w:r>
      <w:r>
        <w:rPr>
          <w:rFonts w:hAnsi="Times New Roman" w:cs="Times New Roman"/>
          <w:sz w:val="24"/>
        </w:rPr>
        <w:t>。</w:t>
      </w:r>
    </w:p>
    <w:p w:rsidR="00D23886" w:rsidRDefault="007B2FA1">
      <w:pPr>
        <w:spacing w:line="360" w:lineRule="auto"/>
        <w:ind w:firstLineChars="200" w:firstLine="480"/>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1.96</w:t>
      </w:r>
      <w:r>
        <w:rPr>
          <w:rFonts w:ascii="Times New Roman" w:eastAsia="宋体" w:hAnsi="Times New Roman" w:cs="Times New Roman" w:hint="eastAsia"/>
          <w:sz w:val="24"/>
          <w:szCs w:val="24"/>
        </w:rPr>
        <w:t>分。</w:t>
      </w:r>
    </w:p>
    <w:p w:rsidR="00D23886" w:rsidRDefault="00D23886">
      <w:pPr>
        <w:pStyle w:val="a0"/>
      </w:pPr>
    </w:p>
    <w:p w:rsidR="00D23886" w:rsidRDefault="007B2FA1">
      <w:pPr>
        <w:snapToGrid w:val="0"/>
        <w:spacing w:line="360" w:lineRule="auto"/>
        <w:ind w:firstLineChars="200" w:firstLine="482"/>
        <w:rPr>
          <w:rFonts w:ascii="Times New Roman" w:eastAsia="宋体" w:hAnsi="Times New Roman" w:cs="Times New Roman"/>
          <w:b/>
          <w:bCs/>
          <w:color w:val="000000"/>
          <w:sz w:val="24"/>
          <w:szCs w:val="24"/>
        </w:rPr>
      </w:pPr>
      <w:r>
        <w:rPr>
          <w:rFonts w:ascii="Times New Roman" w:eastAsia="宋体" w:hAnsi="Times New Roman" w:cs="Times New Roman"/>
          <w:b/>
          <w:bCs/>
          <w:sz w:val="24"/>
          <w:szCs w:val="24"/>
        </w:rPr>
        <w:t>1.</w:t>
      </w:r>
      <w:r>
        <w:rPr>
          <w:rFonts w:ascii="Times New Roman" w:eastAsia="宋体" w:hAnsi="Times New Roman" w:cs="Times New Roman" w:hint="eastAsia"/>
          <w:b/>
          <w:bCs/>
          <w:sz w:val="24"/>
          <w:szCs w:val="24"/>
        </w:rPr>
        <w:t>4</w:t>
      </w:r>
      <w:r>
        <w:rPr>
          <w:rFonts w:ascii="Times New Roman" w:eastAsia="宋体" w:hAnsi="Times New Roman" w:cs="Times New Roman" w:hint="eastAsia"/>
          <w:b/>
          <w:bCs/>
          <w:color w:val="000000"/>
          <w:sz w:val="24"/>
          <w:szCs w:val="24"/>
        </w:rPr>
        <w:t>预算编制</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A401</w:t>
      </w:r>
      <w:r>
        <w:rPr>
          <w:rFonts w:ascii="Times New Roman" w:eastAsia="宋体" w:hAnsi="Times New Roman" w:cs="Times New Roman" w:hint="eastAsia"/>
          <w:b/>
          <w:bCs/>
          <w:sz w:val="24"/>
          <w:szCs w:val="24"/>
        </w:rPr>
        <w:t>预算范围合规性</w:t>
      </w:r>
    </w:p>
    <w:p w:rsidR="00D23886" w:rsidRDefault="007B2FA1">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该指标主要反映</w:t>
      </w:r>
      <w:r>
        <w:rPr>
          <w:rFonts w:ascii="Times New Roman" w:eastAsia="宋体" w:hAnsi="Times New Roman" w:cs="Times New Roman" w:hint="eastAsia"/>
          <w:color w:val="000000"/>
          <w:sz w:val="24"/>
          <w:szCs w:val="24"/>
        </w:rPr>
        <w:t>项目预算测算内容是否符合相关政策文件规定范围。</w:t>
      </w:r>
    </w:p>
    <w:p w:rsidR="00D23886" w:rsidRDefault="007B2FA1">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依据文件《</w:t>
      </w:r>
      <w:r>
        <w:rPr>
          <w:rFonts w:ascii="Times New Roman" w:eastAsia="宋体" w:hAnsi="Times New Roman" w:cs="Times New Roman"/>
          <w:color w:val="000000"/>
          <w:sz w:val="24"/>
          <w:szCs w:val="24"/>
        </w:rPr>
        <w:t>西青政办发【</w:t>
      </w:r>
      <w:r>
        <w:rPr>
          <w:rFonts w:ascii="Times New Roman" w:eastAsia="宋体" w:hAnsi="Times New Roman" w:cs="Times New Roman"/>
          <w:color w:val="000000"/>
          <w:sz w:val="24"/>
          <w:szCs w:val="24"/>
        </w:rPr>
        <w:t>2017</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57</w:t>
      </w:r>
      <w:r>
        <w:rPr>
          <w:rFonts w:ascii="Times New Roman" w:eastAsia="宋体" w:hAnsi="Times New Roman" w:cs="Times New Roman"/>
          <w:color w:val="000000"/>
          <w:sz w:val="24"/>
          <w:szCs w:val="24"/>
        </w:rPr>
        <w:t>号》</w:t>
      </w:r>
      <w:r>
        <w:rPr>
          <w:rFonts w:ascii="Times New Roman" w:eastAsia="宋体" w:hAnsi="Times New Roman" w:cs="Times New Roman" w:hint="eastAsia"/>
          <w:color w:val="000000"/>
          <w:sz w:val="24"/>
          <w:szCs w:val="24"/>
        </w:rPr>
        <w:t>，该项目为筑底工程年度常规项目。项目小组在绩效评价过程中未见预算测算涉及维度存在重复测算政策规定内相同内容。</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A402</w:t>
      </w:r>
      <w:r>
        <w:rPr>
          <w:rFonts w:ascii="Times New Roman" w:eastAsia="宋体" w:hAnsi="Times New Roman" w:cs="Times New Roman" w:hint="eastAsia"/>
          <w:b/>
          <w:bCs/>
          <w:sz w:val="24"/>
          <w:szCs w:val="24"/>
        </w:rPr>
        <w:t>预算标准合理性</w:t>
      </w:r>
    </w:p>
    <w:p w:rsidR="00D23886" w:rsidRDefault="007B2FA1">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该指标主要反映</w:t>
      </w:r>
      <w:r>
        <w:rPr>
          <w:rFonts w:ascii="Times New Roman" w:eastAsia="宋体" w:hAnsi="Times New Roman" w:cs="Times New Roman" w:hint="eastAsia"/>
          <w:color w:val="000000"/>
          <w:sz w:val="24"/>
          <w:szCs w:val="24"/>
        </w:rPr>
        <w:t>项目预算测算项目支出标准是否符合相关政策制度或行业、领域规定。</w:t>
      </w:r>
    </w:p>
    <w:p w:rsidR="00D23886" w:rsidRDefault="007B2FA1">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根据《</w:t>
      </w:r>
      <w:r>
        <w:rPr>
          <w:rFonts w:ascii="Times New Roman" w:eastAsia="宋体" w:hAnsi="Times New Roman" w:cs="Times New Roman"/>
          <w:color w:val="000000"/>
          <w:sz w:val="24"/>
          <w:szCs w:val="24"/>
        </w:rPr>
        <w:t>西青政办发【</w:t>
      </w:r>
      <w:r>
        <w:rPr>
          <w:rFonts w:ascii="Times New Roman" w:eastAsia="宋体" w:hAnsi="Times New Roman" w:cs="Times New Roman"/>
          <w:color w:val="000000"/>
          <w:sz w:val="24"/>
          <w:szCs w:val="24"/>
        </w:rPr>
        <w:t>2017</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57</w:t>
      </w:r>
      <w:r>
        <w:rPr>
          <w:rFonts w:ascii="Times New Roman" w:eastAsia="宋体" w:hAnsi="Times New Roman" w:cs="Times New Roman"/>
          <w:color w:val="000000"/>
          <w:sz w:val="24"/>
          <w:szCs w:val="24"/>
        </w:rPr>
        <w:t>号</w:t>
      </w:r>
      <w:r>
        <w:rPr>
          <w:rFonts w:ascii="Times New Roman" w:eastAsia="宋体" w:hAnsi="Times New Roman" w:cs="Times New Roman" w:hint="eastAsia"/>
          <w:color w:val="000000"/>
          <w:sz w:val="24"/>
          <w:szCs w:val="24"/>
        </w:rPr>
        <w:t>》中关于筑底项目的相关目标制定预算标准，预算标准符合政策规定，符合西青区人民政府对于筑底项目的相关标准。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1</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1</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A403</w:t>
      </w:r>
      <w:r>
        <w:rPr>
          <w:rFonts w:ascii="Times New Roman" w:eastAsia="宋体" w:hAnsi="Times New Roman" w:cs="Times New Roman" w:hint="eastAsia"/>
          <w:b/>
          <w:bCs/>
          <w:sz w:val="24"/>
          <w:szCs w:val="24"/>
        </w:rPr>
        <w:t>预算测算数据客观性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color w:val="000000"/>
          <w:sz w:val="24"/>
          <w:szCs w:val="24"/>
        </w:rPr>
        <w:t>该指标主要反映</w:t>
      </w:r>
      <w:r>
        <w:rPr>
          <w:rFonts w:ascii="Times New Roman" w:eastAsia="宋体" w:hAnsi="Times New Roman" w:cs="Times New Roman" w:hint="eastAsia"/>
          <w:sz w:val="24"/>
          <w:szCs w:val="24"/>
        </w:rPr>
        <w:t>项目预算测算数据是否客观、真实、准确。</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该项目预算测算的数据涵盖人员工资、乡医补助、运行费用等，与西青区筑底项目以前年度开展的数据测算标准一致，具备可比性；涵盖人员工资、站点运行费用等尚未具备合理的测算佐证依据，扣</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1</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B42104" w:rsidRPr="00FB1416" w:rsidRDefault="00B42104" w:rsidP="00B42104">
      <w:pPr>
        <w:snapToGrid w:val="0"/>
        <w:spacing w:line="360" w:lineRule="auto"/>
        <w:ind w:firstLineChars="200" w:firstLine="482"/>
        <w:rPr>
          <w:rFonts w:ascii="Times New Roman" w:eastAsia="宋体" w:hAnsi="Times New Roman" w:cs="Times New Roman"/>
          <w:b/>
          <w:bCs/>
          <w:sz w:val="24"/>
          <w:szCs w:val="24"/>
        </w:rPr>
      </w:pPr>
      <w:r w:rsidRPr="00FB1416">
        <w:rPr>
          <w:rFonts w:ascii="Times New Roman" w:eastAsia="宋体" w:hAnsi="Times New Roman" w:cs="Times New Roman" w:hint="eastAsia"/>
          <w:b/>
          <w:bCs/>
          <w:sz w:val="24"/>
          <w:szCs w:val="24"/>
        </w:rPr>
        <w:t>A4</w:t>
      </w:r>
      <w:r w:rsidRPr="00FB1416">
        <w:rPr>
          <w:rFonts w:ascii="Times New Roman" w:eastAsia="宋体" w:hAnsi="Times New Roman" w:cs="Times New Roman"/>
          <w:b/>
          <w:bCs/>
          <w:sz w:val="24"/>
          <w:szCs w:val="24"/>
        </w:rPr>
        <w:t>04</w:t>
      </w:r>
      <w:r w:rsidRPr="00FB1416">
        <w:rPr>
          <w:rFonts w:ascii="Times New Roman" w:eastAsia="宋体" w:hAnsi="Times New Roman" w:cs="Times New Roman" w:hint="eastAsia"/>
          <w:b/>
          <w:bCs/>
          <w:sz w:val="24"/>
          <w:szCs w:val="24"/>
        </w:rPr>
        <w:t>预算测算过程细化</w:t>
      </w:r>
      <w:r w:rsidRPr="00FB1416">
        <w:rPr>
          <w:rFonts w:ascii="Times New Roman" w:eastAsia="宋体" w:hAnsi="Times New Roman" w:cs="Times New Roman"/>
          <w:b/>
          <w:bCs/>
          <w:sz w:val="24"/>
          <w:szCs w:val="24"/>
        </w:rPr>
        <w:t>度</w:t>
      </w:r>
    </w:p>
    <w:p w:rsidR="00B42104" w:rsidRPr="00FB1416" w:rsidRDefault="00B42104" w:rsidP="00713613">
      <w:pPr>
        <w:snapToGrid w:val="0"/>
        <w:spacing w:line="360" w:lineRule="auto"/>
        <w:ind w:firstLineChars="200" w:firstLine="480"/>
        <w:rPr>
          <w:rFonts w:ascii="Times New Roman" w:eastAsia="宋体" w:hAnsi="Times New Roman" w:cs="Times New Roman"/>
          <w:sz w:val="24"/>
          <w:szCs w:val="24"/>
        </w:rPr>
      </w:pPr>
      <w:r w:rsidRPr="00FB1416">
        <w:rPr>
          <w:rFonts w:ascii="Times New Roman" w:eastAsia="宋体" w:hAnsi="Times New Roman" w:cs="Times New Roman" w:hint="eastAsia"/>
          <w:sz w:val="24"/>
          <w:szCs w:val="24"/>
        </w:rPr>
        <w:t>该</w:t>
      </w:r>
      <w:r w:rsidRPr="00FB1416">
        <w:rPr>
          <w:rFonts w:ascii="Times New Roman" w:eastAsia="宋体" w:hAnsi="Times New Roman" w:cs="Times New Roman"/>
          <w:sz w:val="24"/>
          <w:szCs w:val="24"/>
        </w:rPr>
        <w:t>指标主要反映项目预算测算过程是否细化清晰。</w:t>
      </w:r>
    </w:p>
    <w:p w:rsidR="00B42104" w:rsidRPr="00FB1416" w:rsidRDefault="00713613" w:rsidP="00713613">
      <w:pPr>
        <w:snapToGrid w:val="0"/>
        <w:spacing w:line="360" w:lineRule="auto"/>
        <w:ind w:firstLineChars="200" w:firstLine="480"/>
        <w:rPr>
          <w:rFonts w:ascii="Times New Roman" w:eastAsia="宋体" w:hAnsi="Times New Roman" w:cs="Times New Roman"/>
          <w:sz w:val="24"/>
          <w:szCs w:val="24"/>
        </w:rPr>
      </w:pPr>
      <w:r w:rsidRPr="00FB1416">
        <w:rPr>
          <w:rFonts w:ascii="Times New Roman" w:eastAsia="宋体" w:hAnsi="Times New Roman" w:cs="Times New Roman" w:hint="eastAsia"/>
          <w:sz w:val="24"/>
          <w:szCs w:val="24"/>
        </w:rPr>
        <w:t>该项目测算的细化程度，涵盖人员经费、运行费用等，但是运行费用按照年度单个站点</w:t>
      </w:r>
      <w:r w:rsidRPr="00FB1416">
        <w:rPr>
          <w:rFonts w:ascii="Times New Roman" w:eastAsia="宋体" w:hAnsi="Times New Roman" w:cs="Times New Roman" w:hint="eastAsia"/>
          <w:sz w:val="24"/>
          <w:szCs w:val="24"/>
        </w:rPr>
        <w:t>3</w:t>
      </w:r>
      <w:r w:rsidRPr="00FB1416">
        <w:rPr>
          <w:rFonts w:ascii="Times New Roman" w:eastAsia="宋体" w:hAnsi="Times New Roman" w:cs="Times New Roman" w:hint="eastAsia"/>
          <w:sz w:val="24"/>
          <w:szCs w:val="24"/>
        </w:rPr>
        <w:t>万元补助，并未有按照站点规模、相关区域情况等进行细化测算，扣</w:t>
      </w:r>
      <w:r w:rsidRPr="00FB1416">
        <w:rPr>
          <w:rFonts w:ascii="Times New Roman" w:eastAsia="宋体" w:hAnsi="Times New Roman" w:cs="Times New Roman" w:hint="eastAsia"/>
          <w:sz w:val="24"/>
          <w:szCs w:val="24"/>
        </w:rPr>
        <w:t>1</w:t>
      </w:r>
      <w:r w:rsidRPr="00FB1416">
        <w:rPr>
          <w:rFonts w:ascii="Times New Roman" w:eastAsia="宋体" w:hAnsi="Times New Roman" w:cs="Times New Roman" w:hint="eastAsia"/>
          <w:sz w:val="24"/>
          <w:szCs w:val="24"/>
        </w:rPr>
        <w:t>分。</w:t>
      </w:r>
    </w:p>
    <w:p w:rsidR="00713613" w:rsidRPr="00FB1416" w:rsidRDefault="00713613" w:rsidP="00713613">
      <w:pPr>
        <w:snapToGrid w:val="0"/>
        <w:spacing w:line="360" w:lineRule="auto"/>
        <w:ind w:firstLineChars="200" w:firstLine="480"/>
        <w:rPr>
          <w:rFonts w:ascii="Times New Roman" w:eastAsia="宋体" w:hAnsi="Times New Roman" w:cs="Times New Roman"/>
          <w:sz w:val="24"/>
          <w:szCs w:val="24"/>
        </w:rPr>
      </w:pPr>
      <w:r w:rsidRPr="00FB1416">
        <w:rPr>
          <w:rFonts w:ascii="Times New Roman" w:eastAsia="宋体" w:hAnsi="Times New Roman" w:cs="Times New Roman"/>
          <w:sz w:val="24"/>
          <w:szCs w:val="24"/>
        </w:rPr>
        <w:t>该项指标满分</w:t>
      </w:r>
      <w:r w:rsidRPr="00FB1416">
        <w:rPr>
          <w:rFonts w:ascii="Times New Roman" w:eastAsia="宋体" w:hAnsi="Times New Roman" w:cs="Times New Roman"/>
          <w:sz w:val="24"/>
          <w:szCs w:val="24"/>
        </w:rPr>
        <w:t>2</w:t>
      </w:r>
      <w:r w:rsidRPr="00FB1416">
        <w:rPr>
          <w:rFonts w:ascii="Times New Roman" w:eastAsia="宋体" w:hAnsi="Times New Roman" w:cs="Times New Roman"/>
          <w:sz w:val="24"/>
          <w:szCs w:val="24"/>
        </w:rPr>
        <w:t>分，根据评分标准得</w:t>
      </w:r>
      <w:r w:rsidRPr="00FB1416">
        <w:rPr>
          <w:rFonts w:ascii="Times New Roman" w:eastAsia="宋体" w:hAnsi="Times New Roman" w:cs="Times New Roman" w:hint="eastAsia"/>
          <w:sz w:val="24"/>
          <w:szCs w:val="24"/>
        </w:rPr>
        <w:t>1</w:t>
      </w:r>
      <w:r w:rsidRPr="00FB1416">
        <w:rPr>
          <w:rFonts w:ascii="Times New Roman" w:eastAsia="宋体" w:hAnsi="Times New Roman" w:cs="Times New Roman"/>
          <w:sz w:val="24"/>
          <w:szCs w:val="24"/>
        </w:rPr>
        <w:t>分</w:t>
      </w:r>
      <w:r w:rsidRPr="00FB1416">
        <w:rPr>
          <w:rFonts w:ascii="Times New Roman" w:eastAsia="宋体" w:hAnsi="Times New Roman" w:cs="Times New Roman" w:hint="eastAsia"/>
          <w:sz w:val="24"/>
          <w:szCs w:val="24"/>
        </w:rPr>
        <w:t>。</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sidRPr="00FB1416">
        <w:rPr>
          <w:rFonts w:ascii="Times New Roman" w:eastAsia="宋体" w:hAnsi="Times New Roman" w:cs="Times New Roman"/>
          <w:b/>
          <w:bCs/>
          <w:sz w:val="24"/>
          <w:szCs w:val="24"/>
        </w:rPr>
        <w:t>小结</w:t>
      </w:r>
      <w:r w:rsidRPr="00FB1416">
        <w:rPr>
          <w:rFonts w:ascii="Times New Roman" w:eastAsia="宋体" w:hAnsi="Times New Roman" w:cs="Times New Roman"/>
          <w:b/>
          <w:bCs/>
          <w:sz w:val="24"/>
          <w:szCs w:val="24"/>
        </w:rPr>
        <w:t xml:space="preserve">: </w:t>
      </w:r>
      <w:r w:rsidRPr="00FB1416">
        <w:rPr>
          <w:rFonts w:ascii="Times New Roman" w:eastAsia="宋体" w:hAnsi="Times New Roman" w:cs="Times New Roman"/>
          <w:b/>
          <w:bCs/>
          <w:sz w:val="24"/>
          <w:szCs w:val="24"/>
        </w:rPr>
        <w:t>决策管理指标得分</w:t>
      </w:r>
      <w:r w:rsidR="00B42104" w:rsidRPr="00FB1416">
        <w:rPr>
          <w:rFonts w:ascii="Times New Roman" w:eastAsia="宋体" w:hAnsi="Times New Roman" w:cs="Times New Roman"/>
          <w:b/>
          <w:bCs/>
          <w:sz w:val="24"/>
          <w:szCs w:val="24"/>
        </w:rPr>
        <w:t>20.37</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项目立项指标得</w:t>
      </w:r>
      <w:r>
        <w:rPr>
          <w:rFonts w:ascii="Times New Roman" w:eastAsia="宋体" w:hAnsi="Times New Roman" w:cs="Times New Roman"/>
          <w:b/>
          <w:bCs/>
          <w:sz w:val="24"/>
          <w:szCs w:val="24"/>
        </w:rPr>
        <w:t>4</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绩效目标指标得</w:t>
      </w:r>
      <w:r>
        <w:rPr>
          <w:rFonts w:ascii="Times New Roman" w:eastAsia="宋体" w:hAnsi="Times New Roman" w:cs="Times New Roman"/>
          <w:b/>
          <w:bCs/>
          <w:sz w:val="24"/>
          <w:szCs w:val="24"/>
        </w:rPr>
        <w:t>6</w:t>
      </w:r>
      <w:r>
        <w:rPr>
          <w:rFonts w:ascii="Times New Roman" w:eastAsia="宋体" w:hAnsi="Times New Roman" w:cs="Times New Roman"/>
          <w:b/>
          <w:bCs/>
          <w:sz w:val="24"/>
          <w:szCs w:val="24"/>
        </w:rPr>
        <w:t>分</w:t>
      </w:r>
      <w:r>
        <w:rPr>
          <w:rFonts w:ascii="Times New Roman" w:eastAsia="宋体" w:hAnsi="Times New Roman" w:cs="Times New Roman" w:hint="eastAsia"/>
          <w:b/>
          <w:bCs/>
          <w:sz w:val="24"/>
          <w:szCs w:val="24"/>
        </w:rPr>
        <w:t>；规划数量指标得</w:t>
      </w:r>
      <w:r>
        <w:rPr>
          <w:rFonts w:ascii="Times New Roman" w:eastAsia="宋体" w:hAnsi="Times New Roman" w:cs="Times New Roman" w:hint="eastAsia"/>
          <w:b/>
          <w:bCs/>
          <w:sz w:val="24"/>
          <w:szCs w:val="24"/>
        </w:rPr>
        <w:t>5.37</w:t>
      </w:r>
      <w:r>
        <w:rPr>
          <w:rFonts w:ascii="Times New Roman" w:eastAsia="宋体" w:hAnsi="Times New Roman" w:cs="Times New Roman" w:hint="eastAsia"/>
          <w:b/>
          <w:bCs/>
          <w:sz w:val="24"/>
          <w:szCs w:val="24"/>
        </w:rPr>
        <w:t>分；预算编制指标得</w:t>
      </w:r>
      <w:r>
        <w:rPr>
          <w:rFonts w:ascii="Times New Roman" w:eastAsia="宋体" w:hAnsi="Times New Roman" w:cs="Times New Roman" w:hint="eastAsia"/>
          <w:b/>
          <w:bCs/>
          <w:sz w:val="24"/>
          <w:szCs w:val="24"/>
        </w:rPr>
        <w:t>5</w:t>
      </w:r>
      <w:r>
        <w:rPr>
          <w:rFonts w:ascii="Times New Roman" w:eastAsia="宋体" w:hAnsi="Times New Roman" w:cs="Times New Roman" w:hint="eastAsia"/>
          <w:b/>
          <w:bCs/>
          <w:sz w:val="24"/>
          <w:szCs w:val="24"/>
        </w:rPr>
        <w:t>分</w:t>
      </w:r>
      <w:r>
        <w:rPr>
          <w:rFonts w:ascii="Times New Roman" w:eastAsia="宋体" w:hAnsi="Times New Roman" w:cs="Times New Roman"/>
          <w:b/>
          <w:bCs/>
          <w:sz w:val="24"/>
          <w:szCs w:val="24"/>
        </w:rPr>
        <w:t>。</w:t>
      </w:r>
    </w:p>
    <w:p w:rsidR="00D23886" w:rsidRDefault="007B2FA1">
      <w:pPr>
        <w:pStyle w:val="3"/>
        <w:ind w:leftChars="0" w:left="0" w:firstLineChars="175" w:firstLine="422"/>
        <w:rPr>
          <w:rFonts w:ascii="Times New Roman" w:eastAsia="宋体" w:hAnsi="Times New Roman" w:cs="Times New Roman"/>
          <w:sz w:val="24"/>
          <w:szCs w:val="24"/>
        </w:rPr>
      </w:pPr>
      <w:bookmarkStart w:id="46" w:name="_Toc85135192"/>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效率</w:t>
      </w:r>
      <w:r>
        <w:rPr>
          <w:rFonts w:ascii="Times New Roman" w:eastAsia="宋体" w:hAnsi="Times New Roman" w:cs="Times New Roman"/>
          <w:sz w:val="24"/>
          <w:szCs w:val="24"/>
        </w:rPr>
        <w:t>（</w:t>
      </w:r>
      <w:r>
        <w:rPr>
          <w:rFonts w:ascii="Times New Roman" w:eastAsia="宋体" w:hAnsi="Times New Roman" w:cs="Times New Roman" w:hint="eastAsia"/>
          <w:sz w:val="24"/>
          <w:szCs w:val="24"/>
        </w:rPr>
        <w:t>34</w:t>
      </w:r>
      <w:r>
        <w:rPr>
          <w:rFonts w:ascii="Times New Roman" w:eastAsia="宋体" w:hAnsi="Times New Roman" w:cs="Times New Roman"/>
          <w:sz w:val="24"/>
          <w:szCs w:val="24"/>
        </w:rPr>
        <w:t>分）</w:t>
      </w:r>
      <w:bookmarkEnd w:id="46"/>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项目管理类指标由</w:t>
      </w:r>
      <w:r>
        <w:rPr>
          <w:rFonts w:ascii="Times New Roman" w:eastAsia="宋体" w:hAnsi="Times New Roman" w:cs="Times New Roman" w:hint="eastAsia"/>
          <w:sz w:val="24"/>
          <w:szCs w:val="24"/>
        </w:rPr>
        <w:t>2</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sz w:val="24"/>
          <w:szCs w:val="24"/>
        </w:rPr>
        <w:t>个三级指标构成，权重</w:t>
      </w:r>
      <w:r>
        <w:rPr>
          <w:rFonts w:ascii="Times New Roman" w:eastAsia="宋体" w:hAnsi="Times New Roman" w:cs="Times New Roman" w:hint="eastAsia"/>
          <w:sz w:val="24"/>
          <w:szCs w:val="24"/>
        </w:rPr>
        <w:t>34</w:t>
      </w:r>
      <w:r>
        <w:rPr>
          <w:rFonts w:ascii="Times New Roman" w:eastAsia="宋体" w:hAnsi="Times New Roman" w:cs="Times New Roman"/>
          <w:sz w:val="24"/>
          <w:szCs w:val="24"/>
        </w:rPr>
        <w:t>分，实际得分</w:t>
      </w:r>
      <w:r>
        <w:rPr>
          <w:rFonts w:ascii="Times New Roman" w:eastAsia="宋体" w:hAnsi="Times New Roman" w:cs="Times New Roman" w:hint="eastAsia"/>
          <w:sz w:val="24"/>
          <w:szCs w:val="24"/>
        </w:rPr>
        <w:t>29.29</w:t>
      </w:r>
      <w:r>
        <w:rPr>
          <w:rFonts w:ascii="Times New Roman" w:eastAsia="宋体" w:hAnsi="Times New Roman" w:cs="Times New Roman"/>
          <w:sz w:val="24"/>
          <w:szCs w:val="24"/>
        </w:rPr>
        <w:t>分，各指标业绩值和绩效分值如表</w:t>
      </w:r>
      <w:r>
        <w:rPr>
          <w:rFonts w:ascii="Times New Roman" w:eastAsia="宋体" w:hAnsi="Times New Roman" w:cs="Times New Roman"/>
          <w:sz w:val="24"/>
          <w:szCs w:val="24"/>
        </w:rPr>
        <w:t>4</w:t>
      </w:r>
      <w:r>
        <w:rPr>
          <w:rFonts w:ascii="Times New Roman" w:eastAsia="宋体" w:hAnsi="Times New Roman" w:cs="Times New Roman"/>
          <w:sz w:val="24"/>
          <w:szCs w:val="24"/>
        </w:rPr>
        <w:t>所示：</w:t>
      </w:r>
    </w:p>
    <w:p w:rsidR="00D23886" w:rsidRDefault="007B2FA1">
      <w:pPr>
        <w:snapToGrid w:val="0"/>
        <w:spacing w:line="360" w:lineRule="auto"/>
        <w:ind w:firstLineChars="300" w:firstLine="723"/>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4.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过程</w:t>
      </w:r>
      <w:r>
        <w:rPr>
          <w:rFonts w:ascii="Times New Roman" w:eastAsia="宋体" w:hAnsi="Times New Roman" w:cs="Times New Roman"/>
          <w:b/>
          <w:bCs/>
          <w:sz w:val="24"/>
          <w:szCs w:val="24"/>
        </w:rPr>
        <w:t>类指标评分表</w:t>
      </w:r>
    </w:p>
    <w:tbl>
      <w:tblPr>
        <w:tblW w:w="4998" w:type="pct"/>
        <w:tblLook w:val="04A0"/>
      </w:tblPr>
      <w:tblGrid>
        <w:gridCol w:w="616"/>
        <w:gridCol w:w="616"/>
        <w:gridCol w:w="457"/>
        <w:gridCol w:w="1601"/>
        <w:gridCol w:w="1314"/>
        <w:gridCol w:w="616"/>
        <w:gridCol w:w="3299"/>
      </w:tblGrid>
      <w:tr w:rsidR="00D23886">
        <w:trPr>
          <w:trHeight w:val="570"/>
        </w:trPr>
        <w:tc>
          <w:tcPr>
            <w:tcW w:w="361"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二级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361"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三级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68"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分值</w:t>
            </w:r>
          </w:p>
        </w:tc>
        <w:tc>
          <w:tcPr>
            <w:tcW w:w="939"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指标解释</w:t>
            </w:r>
          </w:p>
        </w:tc>
        <w:tc>
          <w:tcPr>
            <w:tcW w:w="772"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评分标准</w:t>
            </w:r>
          </w:p>
        </w:tc>
        <w:tc>
          <w:tcPr>
            <w:tcW w:w="361"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得分</w:t>
            </w:r>
          </w:p>
        </w:tc>
        <w:tc>
          <w:tcPr>
            <w:tcW w:w="1935" w:type="pct"/>
            <w:tcBorders>
              <w:top w:val="single" w:sz="8" w:space="0" w:color="000000"/>
              <w:left w:val="single" w:sz="4" w:space="0" w:color="000000"/>
              <w:bottom w:val="single" w:sz="4" w:space="0" w:color="000000"/>
              <w:right w:val="single" w:sz="8"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评分依据</w:t>
            </w:r>
          </w:p>
        </w:tc>
      </w:tr>
      <w:tr w:rsidR="00D23886">
        <w:trPr>
          <w:trHeight w:val="960"/>
        </w:trPr>
        <w:tc>
          <w:tcPr>
            <w:tcW w:w="361"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B1组织实施</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B101制度体系</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健全性</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widowControl/>
              <w:jc w:val="left"/>
              <w:textAlignment w:val="center"/>
              <w:rPr>
                <w:rFonts w:ascii="宋体" w:eastAsia="宋体" w:hAnsi="宋体" w:cs="宋体"/>
                <w:color w:val="000000"/>
                <w:kern w:val="0"/>
                <w:sz w:val="20"/>
                <w:szCs w:val="20"/>
                <w:lang/>
              </w:rPr>
            </w:pP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评价部门（单位）是否已制定或具有相应的财务、业务、人员管理制度；</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该项分值3分。具备财务、业务、人员管理维度制度得3分，每缺失一个维度扣1分。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单位已制定相应的财务、业务、人员管理制度，制度体系层面健全。</w:t>
            </w:r>
          </w:p>
        </w:tc>
      </w:tr>
      <w:tr w:rsidR="00D23886">
        <w:trPr>
          <w:trHeight w:val="720"/>
        </w:trPr>
        <w:tc>
          <w:tcPr>
            <w:tcW w:w="36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B102管理制度</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完整性</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widowControl/>
              <w:jc w:val="left"/>
              <w:textAlignment w:val="center"/>
              <w:rPr>
                <w:rFonts w:ascii="宋体" w:eastAsia="宋体" w:hAnsi="宋体" w:cs="宋体"/>
                <w:color w:val="000000"/>
                <w:kern w:val="0"/>
                <w:sz w:val="20"/>
                <w:szCs w:val="20"/>
                <w:lang/>
              </w:rPr>
            </w:pP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评价部门（单位）的财务、业务、人员管理制度是否合法、完整、完善。</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该项分值3分。依据实际情况评分。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财务、业务及人员管理上，西青区卫健委仅通过目标管理责任书约定各中心执行站点相关的绩效管理，并将绩效考核结果作为社区医生执业注册、动态调整和绩效分配的主要依据，并未建立完整、统一的站点（涵盖人员）的绩效管理办法，扣2分。</w:t>
            </w:r>
          </w:p>
        </w:tc>
      </w:tr>
      <w:tr w:rsidR="00D23886">
        <w:trPr>
          <w:trHeight w:val="720"/>
        </w:trPr>
        <w:tc>
          <w:tcPr>
            <w:tcW w:w="36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B103制度执行</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合规性</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主要评价制度的执行情况是否遵守相关法律法规和相关管理规定。</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该项分值3分。依据实际情况评分。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财务和业务管理等制度的执行符合《西青区医疗卫生服务体系建设规划实施方案》（2016-2020年）》《财政支出绩效评价管理暂行办法》（财预（2011）285号）的相关规定。</w:t>
            </w:r>
          </w:p>
        </w:tc>
      </w:tr>
      <w:tr w:rsidR="00D23886">
        <w:trPr>
          <w:trHeight w:val="720"/>
        </w:trPr>
        <w:tc>
          <w:tcPr>
            <w:tcW w:w="36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B104制度执行</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有效性</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评价部门（单位）：①费用支出的审批流程是否有效；②人员管理相应的考核评价体系是否有效的保障经费支出的合理性、真实性。</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该项分值3分。依据实际情况评分。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费用支出的审批流程有效执行；相关人员管理制度仅通过西青区卫健委与各中心签订目标管理责任书约定由各中心执行站点人员、绩效管理工作，绩效管理松散、不统一，无法保证经费支出的合理性、真实性，扣2分。</w:t>
            </w:r>
          </w:p>
        </w:tc>
      </w:tr>
      <w:tr w:rsidR="00D23886">
        <w:trPr>
          <w:trHeight w:val="921"/>
        </w:trPr>
        <w:tc>
          <w:tcPr>
            <w:tcW w:w="36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B105政府采购</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应采尽采</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应</w:t>
            </w:r>
            <w:r>
              <w:rPr>
                <w:rStyle w:val="font21"/>
                <w:rFonts w:hint="default"/>
                <w:lang/>
              </w:rPr>
              <w:t>当采用招投标方式采购的是否已经使用且合理使用。</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该项分值3分。依据实际情况评分。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运行费用中的网费（采购金额超过50万）采用招投标方式，业务规范。</w:t>
            </w:r>
          </w:p>
        </w:tc>
      </w:tr>
      <w:tr w:rsidR="00D23886">
        <w:trPr>
          <w:trHeight w:val="312"/>
        </w:trPr>
        <w:tc>
          <w:tcPr>
            <w:tcW w:w="361" w:type="pct"/>
            <w:vMerge w:val="restart"/>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B2资金管理</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（19分）</w:t>
            </w:r>
          </w:p>
        </w:tc>
        <w:tc>
          <w:tcPr>
            <w:tcW w:w="361" w:type="pct"/>
            <w:vMerge w:val="restar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B201资金到位率</w:t>
            </w:r>
          </w:p>
        </w:tc>
        <w:tc>
          <w:tcPr>
            <w:tcW w:w="268" w:type="pct"/>
            <w:vMerge w:val="restar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vMerge w:val="restar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实际到位资金与预算资金的比率，用以反映和考核资金落实情况对项目实施的总体保障程度。</w:t>
            </w:r>
          </w:p>
        </w:tc>
        <w:tc>
          <w:tcPr>
            <w:tcW w:w="7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该项分值3分，按公式计算得分。</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专项资金到位率=(实际到位资金÷预算资金)×l00%；</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 xml:space="preserve">实际到位资金：一定时期（本年度或项目期）内落实到具体项目的资金。                        </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预算资金：一定时期（本年度或项目期）内预算安排到具体项目的资金。</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注：根据该项目资金管理办法规定，及财政事权和支出责任划分相关制度，考核区级财政资金到位率。</w:t>
            </w:r>
          </w:p>
        </w:tc>
        <w:tc>
          <w:tcPr>
            <w:tcW w:w="361" w:type="pct"/>
            <w:vMerge w:val="restar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935"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该项目总预算2451.65万元，获批筑底项目专项资金2451.65万元，该项目得分2分。（西青财指[2021]1、269号）</w:t>
            </w:r>
          </w:p>
        </w:tc>
      </w:tr>
      <w:tr w:rsidR="00D23886">
        <w:trPr>
          <w:trHeight w:val="960"/>
        </w:trPr>
        <w:tc>
          <w:tcPr>
            <w:tcW w:w="361" w:type="pct"/>
            <w:vMerge/>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vMerge/>
            <w:tcBorders>
              <w:top w:val="single" w:sz="4" w:space="0" w:color="000000"/>
              <w:left w:val="single" w:sz="4" w:space="0" w:color="000000"/>
              <w:bottom w:val="nil"/>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68" w:type="pct"/>
            <w:vMerge/>
            <w:tcBorders>
              <w:top w:val="single" w:sz="4" w:space="0" w:color="000000"/>
              <w:left w:val="single" w:sz="4" w:space="0" w:color="000000"/>
              <w:bottom w:val="nil"/>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939" w:type="pct"/>
            <w:vMerge/>
            <w:tcBorders>
              <w:top w:val="single" w:sz="4" w:space="0" w:color="000000"/>
              <w:left w:val="single" w:sz="4" w:space="0" w:color="000000"/>
              <w:bottom w:val="nil"/>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jc w:val="left"/>
              <w:rPr>
                <w:rFonts w:ascii="宋体" w:eastAsia="宋体" w:hAnsi="宋体" w:cs="宋体"/>
                <w:color w:val="000000"/>
                <w:sz w:val="20"/>
                <w:szCs w:val="20"/>
              </w:rPr>
            </w:pPr>
          </w:p>
        </w:tc>
        <w:tc>
          <w:tcPr>
            <w:tcW w:w="361" w:type="pct"/>
            <w:vMerge/>
            <w:tcBorders>
              <w:top w:val="single" w:sz="4" w:space="0" w:color="000000"/>
              <w:left w:val="single" w:sz="4" w:space="0" w:color="000000"/>
              <w:bottom w:val="nil"/>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1935" w:type="pct"/>
            <w:vMerge/>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D23886">
            <w:pPr>
              <w:jc w:val="left"/>
              <w:rPr>
                <w:rFonts w:ascii="宋体" w:eastAsia="宋体" w:hAnsi="宋体" w:cs="宋体"/>
                <w:color w:val="000000"/>
                <w:sz w:val="20"/>
                <w:szCs w:val="20"/>
              </w:rPr>
            </w:pPr>
          </w:p>
        </w:tc>
      </w:tr>
      <w:tr w:rsidR="00D23886">
        <w:trPr>
          <w:trHeight w:val="720"/>
        </w:trPr>
        <w:tc>
          <w:tcPr>
            <w:tcW w:w="361" w:type="pct"/>
            <w:vMerge/>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B202资金到位</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及时率</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及时到位资金与应到位资金的比率，用以反映和考核项目资金落实的及时性程度。</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该项分值2分，存在一次不及时的情况扣1分，存在二次及二次以上不及时情况，不得分。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该项目资金支付通过零余额账户划转，资金拨付时间与申请资金拨付基本同步。</w:t>
            </w:r>
          </w:p>
        </w:tc>
      </w:tr>
      <w:tr w:rsidR="00D23886">
        <w:trPr>
          <w:trHeight w:val="720"/>
        </w:trPr>
        <w:tc>
          <w:tcPr>
            <w:tcW w:w="361" w:type="pct"/>
            <w:vMerge/>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B203预算执行率</w:t>
            </w:r>
          </w:p>
        </w:tc>
        <w:tc>
          <w:tcPr>
            <w:tcW w:w="268"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3</w:t>
            </w:r>
          </w:p>
        </w:tc>
        <w:tc>
          <w:tcPr>
            <w:tcW w:w="939"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项目预算资金是否按照计划执行，用以反映或考核项目预算执行情况。</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资金预算执行率=实际支出资金÷实际到位资金*分值*100%，该项分值3分，按公式计算得分。</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2.29</w:t>
            </w:r>
          </w:p>
        </w:tc>
        <w:tc>
          <w:tcPr>
            <w:tcW w:w="1935"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该项目批复资金2451.65万元，实际项目支付资金1896万元，该项目得分为1896/2451.65*3*100%=2.29分。</w:t>
            </w:r>
          </w:p>
        </w:tc>
      </w:tr>
      <w:tr w:rsidR="00D23886">
        <w:trPr>
          <w:trHeight w:val="2415"/>
        </w:trPr>
        <w:tc>
          <w:tcPr>
            <w:tcW w:w="361" w:type="pct"/>
            <w:vMerge/>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361"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B204资金使用</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合规性</w:t>
            </w:r>
          </w:p>
        </w:tc>
        <w:tc>
          <w:tcPr>
            <w:tcW w:w="268"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939"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项目资金使用是否符合相关的财务管理制度规定，用以反映和考核项目资金的规范运行情况：</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①是否符合国家财经法规和财务管理制度以及有关专项资金管理办法的规定；</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②资金的拨付是否有完整的审批程序和手续；</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③是否符合项目预算批复规定的用途；</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④是否存在资金截留、挤占、挪用、虚列支出等情况；</w:t>
            </w:r>
          </w:p>
          <w:p w:rsidR="00D23886" w:rsidRDefault="007B2FA1">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⑤是否按照规定处理结余、结转资金；</w:t>
            </w: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注：在审计、巡视、财政检查等报告中提出有涉及本项的重大违纪行为一次性扣除5分。              </w:t>
            </w:r>
          </w:p>
        </w:tc>
        <w:tc>
          <w:tcPr>
            <w:tcW w:w="772"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具备一个要点实际值20%权重分。</w:t>
            </w:r>
          </w:p>
        </w:tc>
        <w:tc>
          <w:tcPr>
            <w:tcW w:w="361"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1935" w:type="pct"/>
            <w:tcBorders>
              <w:top w:val="single" w:sz="4" w:space="0" w:color="000000"/>
              <w:left w:val="single" w:sz="4" w:space="0" w:color="000000"/>
              <w:bottom w:val="single" w:sz="8"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单位符合《财政支出绩效评价管理暂行办法》（财预（2011）285号）、《天津市预算审查监督条例》以及有关专项资金管理办法的规定；资金的拨付有完整的审批程序和手续；资金使用符合项目预算批复的用途；未发现资金截留、挤占、挪用、虚列支出等情况。本项目通过零余额账户核算，不存在结余资金。</w:t>
            </w:r>
          </w:p>
        </w:tc>
      </w:tr>
    </w:tbl>
    <w:p w:rsidR="00D23886" w:rsidRDefault="00D23886" w:rsidP="00AE3453">
      <w:pPr>
        <w:snapToGrid w:val="0"/>
        <w:spacing w:beforeLines="50" w:line="360" w:lineRule="auto"/>
        <w:ind w:firstLineChars="200" w:firstLine="482"/>
        <w:rPr>
          <w:rFonts w:ascii="Times New Roman" w:eastAsia="宋体" w:hAnsi="Times New Roman" w:cs="Times New Roman"/>
          <w:b/>
          <w:bCs/>
          <w:sz w:val="24"/>
          <w:szCs w:val="24"/>
        </w:rPr>
      </w:pPr>
    </w:p>
    <w:p w:rsidR="00D23886" w:rsidRDefault="007B2FA1" w:rsidP="00AE3453">
      <w:pPr>
        <w:snapToGrid w:val="0"/>
        <w:spacing w:beforeLines="50"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2.1</w:t>
      </w:r>
      <w:r>
        <w:rPr>
          <w:rFonts w:ascii="Times New Roman" w:eastAsia="宋体" w:hAnsi="Times New Roman" w:cs="Times New Roman" w:hint="eastAsia"/>
          <w:b/>
          <w:bCs/>
          <w:sz w:val="24"/>
          <w:szCs w:val="24"/>
        </w:rPr>
        <w:t>组织实施</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B101</w:t>
      </w:r>
      <w:r>
        <w:rPr>
          <w:rFonts w:ascii="Times New Roman" w:eastAsia="宋体" w:hAnsi="Times New Roman" w:cs="Times New Roman" w:hint="eastAsia"/>
          <w:b/>
          <w:bCs/>
          <w:sz w:val="24"/>
          <w:szCs w:val="24"/>
        </w:rPr>
        <w:t>制度体系健全性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该指标是指项目单位的</w:t>
      </w:r>
      <w:r>
        <w:rPr>
          <w:rFonts w:ascii="Times New Roman" w:eastAsia="宋体" w:hAnsi="Times New Roman" w:cs="Times New Roman" w:hint="eastAsia"/>
          <w:sz w:val="24"/>
          <w:szCs w:val="24"/>
        </w:rPr>
        <w:t>项目实施单位的是否已制定或具有相应的财务、业务、人员管理制度。</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被评价单位已制定相应的财务、业务、人员管理制度。</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B102</w:t>
      </w:r>
      <w:r>
        <w:rPr>
          <w:rFonts w:ascii="Times New Roman" w:eastAsia="宋体" w:hAnsi="Times New Roman" w:cs="Times New Roman" w:hint="eastAsia"/>
          <w:b/>
          <w:bCs/>
          <w:sz w:val="24"/>
          <w:szCs w:val="24"/>
        </w:rPr>
        <w:t>管理制度完整性</w:t>
      </w:r>
    </w:p>
    <w:p w:rsidR="00D23886" w:rsidRDefault="007B2FA1">
      <w:pPr>
        <w:snapToGrid w:val="0"/>
        <w:spacing w:line="360" w:lineRule="auto"/>
        <w:ind w:firstLineChars="200" w:firstLine="480"/>
      </w:pPr>
      <w:r>
        <w:rPr>
          <w:rFonts w:ascii="Times New Roman" w:eastAsia="宋体" w:hAnsi="Times New Roman" w:cs="Times New Roman"/>
          <w:sz w:val="24"/>
          <w:szCs w:val="24"/>
        </w:rPr>
        <w:t>该指标是</w:t>
      </w:r>
      <w:r>
        <w:rPr>
          <w:rFonts w:ascii="Times New Roman" w:eastAsia="宋体" w:hAnsi="Times New Roman" w:cs="Times New Roman" w:hint="eastAsia"/>
          <w:sz w:val="24"/>
          <w:szCs w:val="24"/>
        </w:rPr>
        <w:t>评价部门（单位）的财务、业务、人员管理制度是否合法、完整、完善。</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财务、业务及人员管理上，西青区卫健委仅通过目标管理责任书约定各中心执行站点相关的绩效管理，并将绩效考核结果作为社区医生执业注册、动态调整和绩效分配的主要依据，并未建立完整、统一的站点（涵盖人员）的绩效管理办法，扣</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1</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B103</w:t>
      </w:r>
      <w:r>
        <w:rPr>
          <w:rFonts w:ascii="Times New Roman" w:eastAsia="宋体" w:hAnsi="Times New Roman" w:cs="Times New Roman" w:hint="eastAsia"/>
          <w:b/>
          <w:bCs/>
          <w:sz w:val="24"/>
          <w:szCs w:val="24"/>
        </w:rPr>
        <w:t>制度执行合规性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w:t>
      </w:r>
      <w:r>
        <w:rPr>
          <w:rFonts w:ascii="Times New Roman" w:eastAsia="宋体" w:hAnsi="Times New Roman" w:cs="Times New Roman" w:hint="eastAsia"/>
          <w:sz w:val="24"/>
          <w:szCs w:val="24"/>
        </w:rPr>
        <w:t>主要评价制度的执行情况是否遵守相关法律法规和相关管理规定。</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该项目财务和业务管理等制度的执行符合《西青区医疗卫生服务体系建设规划实施方案》（</w:t>
      </w:r>
      <w:r>
        <w:rPr>
          <w:rFonts w:ascii="Times New Roman" w:eastAsia="宋体" w:hAnsi="Times New Roman" w:cs="Times New Roman" w:hint="eastAsia"/>
          <w:sz w:val="24"/>
          <w:szCs w:val="24"/>
        </w:rPr>
        <w:t>2016-2020</w:t>
      </w:r>
      <w:r>
        <w:rPr>
          <w:rFonts w:ascii="Times New Roman" w:eastAsia="宋体" w:hAnsi="Times New Roman" w:cs="Times New Roman" w:hint="eastAsia"/>
          <w:sz w:val="24"/>
          <w:szCs w:val="24"/>
        </w:rPr>
        <w:t>年）》《财政支出绩效评价管理暂行办法》（财预（</w:t>
      </w:r>
      <w:r>
        <w:rPr>
          <w:rFonts w:ascii="Times New Roman" w:eastAsia="宋体" w:hAnsi="Times New Roman" w:cs="Times New Roman" w:hint="eastAsia"/>
          <w:sz w:val="24"/>
          <w:szCs w:val="24"/>
        </w:rPr>
        <w:t>2011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285</w:t>
      </w:r>
      <w:r>
        <w:rPr>
          <w:rFonts w:ascii="Times New Roman" w:eastAsia="宋体" w:hAnsi="Times New Roman" w:cs="Times New Roman" w:hint="eastAsia"/>
          <w:sz w:val="24"/>
          <w:szCs w:val="24"/>
        </w:rPr>
        <w:t>号）的相关规定，合法合规。</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B104</w:t>
      </w:r>
      <w:r>
        <w:rPr>
          <w:rFonts w:ascii="Times New Roman" w:eastAsia="宋体" w:hAnsi="Times New Roman" w:cs="Times New Roman" w:hint="eastAsia"/>
          <w:b/>
          <w:bCs/>
          <w:sz w:val="24"/>
          <w:szCs w:val="24"/>
        </w:rPr>
        <w:t>制度执行有效性</w:t>
      </w:r>
    </w:p>
    <w:p w:rsidR="00D23886" w:rsidRDefault="007B2FA1">
      <w:pPr>
        <w:pStyle w:val="a0"/>
        <w:spacing w:after="0" w:line="360" w:lineRule="auto"/>
        <w:ind w:firstLineChars="200" w:firstLine="480"/>
        <w:rPr>
          <w:rFonts w:hAnsi="Times New Roman" w:cs="Times New Roman"/>
          <w:sz w:val="24"/>
        </w:rPr>
      </w:pPr>
      <w:r>
        <w:rPr>
          <w:rFonts w:hAnsi="Times New Roman" w:cs="Times New Roman" w:hint="eastAsia"/>
          <w:sz w:val="24"/>
        </w:rPr>
        <w:t>该指标主要评价部门（单位）费用支出的审批流程是否有效以及人员管理相应的考核评价体系是否有效的保障了经费支出的合理性、真实性。</w:t>
      </w:r>
    </w:p>
    <w:p w:rsidR="00D23886" w:rsidRDefault="007B2FA1">
      <w:pPr>
        <w:pStyle w:val="a0"/>
        <w:spacing w:after="0" w:line="360" w:lineRule="auto"/>
        <w:ind w:firstLineChars="200" w:firstLine="480"/>
        <w:rPr>
          <w:rFonts w:hAnsi="Times New Roman" w:cs="Times New Roman"/>
          <w:sz w:val="24"/>
        </w:rPr>
      </w:pPr>
      <w:r>
        <w:rPr>
          <w:rFonts w:hAnsi="Times New Roman" w:cs="Times New Roman" w:hint="eastAsia"/>
          <w:sz w:val="24"/>
        </w:rPr>
        <w:t>该项目费用支出的审批流程有效执行；相关人员管理制度仅通过西青区卫健委与各中心签订目标管理责任书，约定由各中心执行站点人员等的绩效管理工作，绩效管理松散、不统一，无法保证经费支出的合理性、真实性，扣</w:t>
      </w:r>
      <w:r>
        <w:rPr>
          <w:rFonts w:hAnsi="Times New Roman" w:cs="Times New Roman" w:hint="eastAsia"/>
          <w:sz w:val="24"/>
        </w:rPr>
        <w:t>2</w:t>
      </w:r>
      <w:r>
        <w:rPr>
          <w:rFonts w:hAnsi="Times New Roman" w:cs="Times New Roman" w:hint="eastAsia"/>
          <w:sz w:val="24"/>
        </w:rPr>
        <w:t>分。</w:t>
      </w:r>
    </w:p>
    <w:p w:rsidR="00D23886" w:rsidRDefault="007B2FA1">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1</w:t>
      </w:r>
      <w:r>
        <w:rPr>
          <w:rFonts w:ascii="Times New Roman" w:eastAsia="宋体" w:hAnsi="Times New Roman" w:cs="Times New Roman"/>
          <w:sz w:val="24"/>
          <w:szCs w:val="24"/>
        </w:rPr>
        <w:t>分。</w:t>
      </w:r>
    </w:p>
    <w:p w:rsidR="00D23886" w:rsidRDefault="007B2FA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B105</w:t>
      </w:r>
      <w:r>
        <w:rPr>
          <w:rFonts w:ascii="Times New Roman" w:eastAsia="宋体" w:hAnsi="Times New Roman" w:cs="Times New Roman" w:hint="eastAsia"/>
          <w:b/>
          <w:bCs/>
          <w:sz w:val="24"/>
          <w:szCs w:val="24"/>
        </w:rPr>
        <w:t>政府采购应采尽采</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该指标主要评价应该使用招投标方式采购的是否已经使用且合理使用。</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该项目中运行费用中的网费（采购金额超过</w:t>
      </w:r>
      <w:r>
        <w:rPr>
          <w:rFonts w:ascii="Times New Roman" w:eastAsia="宋体" w:hAnsi="Times New Roman" w:cs="Times New Roman" w:hint="eastAsia"/>
          <w:sz w:val="24"/>
          <w:szCs w:val="24"/>
        </w:rPr>
        <w:t>50</w:t>
      </w:r>
      <w:r>
        <w:rPr>
          <w:rFonts w:ascii="Times New Roman" w:eastAsia="宋体" w:hAnsi="Times New Roman" w:cs="Times New Roman" w:hint="eastAsia"/>
          <w:sz w:val="24"/>
          <w:szCs w:val="24"/>
        </w:rPr>
        <w:t>万）采用招投标方式，招投标业务规范。</w:t>
      </w:r>
    </w:p>
    <w:p w:rsidR="00D23886" w:rsidRDefault="007B2FA1">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w:t>
      </w:r>
    </w:p>
    <w:p w:rsidR="00D23886" w:rsidRDefault="00D23886">
      <w:pPr>
        <w:pStyle w:val="a0"/>
      </w:pPr>
    </w:p>
    <w:p w:rsidR="00D23886" w:rsidRDefault="007B2FA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2.2</w:t>
      </w:r>
      <w:r>
        <w:rPr>
          <w:rFonts w:ascii="Times New Roman" w:eastAsia="宋体" w:hAnsi="Times New Roman" w:cs="Times New Roman" w:hint="eastAsia"/>
          <w:b/>
          <w:bCs/>
          <w:sz w:val="24"/>
          <w:szCs w:val="24"/>
        </w:rPr>
        <w:t>资金管理</w:t>
      </w:r>
    </w:p>
    <w:p w:rsidR="00D23886" w:rsidRDefault="007B2FA1">
      <w:pPr>
        <w:pStyle w:val="a0"/>
        <w:ind w:firstLine="480"/>
        <w:rPr>
          <w:rFonts w:hAnsi="Times New Roman" w:cs="Times New Roman"/>
          <w:b/>
          <w:bCs/>
          <w:sz w:val="24"/>
        </w:rPr>
      </w:pPr>
      <w:r>
        <w:rPr>
          <w:rFonts w:hAnsi="Times New Roman" w:cs="Times New Roman"/>
          <w:b/>
          <w:bCs/>
          <w:sz w:val="24"/>
        </w:rPr>
        <w:t>B</w:t>
      </w:r>
      <w:r>
        <w:rPr>
          <w:rFonts w:hAnsi="Times New Roman" w:cs="Times New Roman" w:hint="eastAsia"/>
          <w:b/>
          <w:bCs/>
          <w:sz w:val="24"/>
        </w:rPr>
        <w:t>2</w:t>
      </w:r>
      <w:r>
        <w:rPr>
          <w:rFonts w:hAnsi="Times New Roman" w:cs="Times New Roman"/>
          <w:b/>
          <w:bCs/>
          <w:sz w:val="24"/>
        </w:rPr>
        <w:t>01</w:t>
      </w:r>
      <w:r>
        <w:rPr>
          <w:rFonts w:hAnsi="Times New Roman" w:cs="Times New Roman"/>
          <w:b/>
          <w:bCs/>
          <w:sz w:val="24"/>
        </w:rPr>
        <w:t>资金到位率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该指标主要反映项目</w:t>
      </w:r>
      <w:r>
        <w:rPr>
          <w:rFonts w:ascii="Times New Roman" w:eastAsia="宋体" w:hAnsi="Times New Roman" w:cs="Times New Roman" w:hint="eastAsia"/>
          <w:sz w:val="24"/>
          <w:szCs w:val="24"/>
        </w:rPr>
        <w:t>实际到位资金与预算资金的比率，用以反映和考核资金落实情况对项目实施的总体保障程度。</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专项资金到位率</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sz w:val="24"/>
          <w:szCs w:val="24"/>
        </w:rPr>
        <w:t>实际到位资金</w:t>
      </w:r>
      <w:r>
        <w:rPr>
          <w:rFonts w:ascii="Times New Roman" w:eastAsia="宋体" w:hAnsi="Times New Roman" w:cs="Times New Roman"/>
          <w:sz w:val="24"/>
          <w:szCs w:val="24"/>
        </w:rPr>
        <w:t>÷</w:t>
      </w:r>
      <w:r>
        <w:rPr>
          <w:rFonts w:ascii="Times New Roman" w:eastAsia="宋体" w:hAnsi="Times New Roman" w:cs="Times New Roman"/>
          <w:sz w:val="24"/>
          <w:szCs w:val="24"/>
        </w:rPr>
        <w:t>预算资金</w:t>
      </w:r>
      <w:r>
        <w:rPr>
          <w:rFonts w:ascii="Times New Roman" w:eastAsia="宋体" w:hAnsi="Times New Roman" w:cs="Times New Roman" w:hint="eastAsia"/>
          <w:sz w:val="24"/>
          <w:szCs w:val="24"/>
        </w:rPr>
        <w:t>）</w:t>
      </w:r>
      <w:r>
        <w:rPr>
          <w:rFonts w:ascii="Times New Roman" w:eastAsia="宋体" w:hAnsi="Times New Roman" w:cs="Times New Roman"/>
          <w:sz w:val="24"/>
          <w:szCs w:val="24"/>
        </w:rPr>
        <w:t>×l00%</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实际到位资金：一定时期（本年度或项目期）内落实到具体项目的资金。</w:t>
      </w:r>
      <w:r>
        <w:rPr>
          <w:rFonts w:ascii="Times New Roman" w:eastAsia="宋体" w:hAnsi="Times New Roman" w:cs="Times New Roman"/>
          <w:sz w:val="24"/>
          <w:szCs w:val="24"/>
        </w:rPr>
        <w:t xml:space="preserve">          </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根据《西青财指【</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269</w:t>
      </w:r>
      <w:r>
        <w:rPr>
          <w:rFonts w:ascii="Times New Roman" w:eastAsia="宋体" w:hAnsi="Times New Roman" w:cs="Times New Roman" w:hint="eastAsia"/>
          <w:sz w:val="24"/>
          <w:szCs w:val="24"/>
        </w:rPr>
        <w:t>号</w:t>
      </w:r>
      <w:r>
        <w:rPr>
          <w:rFonts w:ascii="Times New Roman" w:eastAsia="宋体" w:hAnsi="Times New Roman" w:cs="Times New Roman"/>
          <w:sz w:val="24"/>
          <w:szCs w:val="24"/>
        </w:rPr>
        <w:t>》中列示的</w:t>
      </w:r>
      <w:r>
        <w:rPr>
          <w:rFonts w:ascii="Times New Roman" w:eastAsia="宋体" w:hAnsi="Times New Roman" w:cs="Times New Roman" w:hint="eastAsia"/>
          <w:sz w:val="24"/>
          <w:szCs w:val="24"/>
        </w:rPr>
        <w:t>专项</w:t>
      </w:r>
      <w:r>
        <w:rPr>
          <w:rFonts w:ascii="Times New Roman" w:eastAsia="宋体" w:hAnsi="Times New Roman" w:cs="Times New Roman"/>
          <w:sz w:val="24"/>
          <w:szCs w:val="24"/>
        </w:rPr>
        <w:t>资金</w:t>
      </w:r>
      <w:r>
        <w:rPr>
          <w:rFonts w:ascii="Times New Roman" w:eastAsia="宋体" w:hAnsi="Times New Roman" w:cs="Times New Roman" w:hint="eastAsia"/>
          <w:sz w:val="24"/>
          <w:szCs w:val="24"/>
        </w:rPr>
        <w:t>下达指标该项目总预算</w:t>
      </w:r>
      <w:r>
        <w:rPr>
          <w:rFonts w:ascii="Times New Roman" w:eastAsia="宋体" w:hAnsi="Times New Roman" w:cs="Times New Roman" w:hint="eastAsia"/>
          <w:sz w:val="24"/>
          <w:szCs w:val="24"/>
        </w:rPr>
        <w:t>2,451.65</w:t>
      </w:r>
      <w:r>
        <w:rPr>
          <w:rFonts w:ascii="Times New Roman" w:eastAsia="宋体" w:hAnsi="Times New Roman" w:cs="Times New Roman"/>
          <w:sz w:val="24"/>
          <w:szCs w:val="24"/>
        </w:rPr>
        <w:t>万元，获批交通运输专项资金</w:t>
      </w:r>
      <w:r>
        <w:rPr>
          <w:rFonts w:ascii="Times New Roman" w:eastAsia="宋体" w:hAnsi="Times New Roman" w:cs="Times New Roman" w:hint="eastAsia"/>
          <w:sz w:val="24"/>
          <w:szCs w:val="24"/>
        </w:rPr>
        <w:t>2,451.65</w:t>
      </w:r>
      <w:r>
        <w:rPr>
          <w:rFonts w:ascii="Times New Roman" w:eastAsia="宋体" w:hAnsi="Times New Roman" w:cs="Times New Roman"/>
          <w:sz w:val="24"/>
          <w:szCs w:val="24"/>
        </w:rPr>
        <w:t>万元</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该项目专项资金到位率</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2,451.65</w:t>
      </w:r>
      <w:r>
        <w:rPr>
          <w:rFonts w:ascii="Times New Roman" w:eastAsia="宋体" w:hAnsi="Times New Roman" w:cs="Times New Roman"/>
          <w:sz w:val="24"/>
          <w:szCs w:val="24"/>
        </w:rPr>
        <w:t>÷</w:t>
      </w:r>
      <w:r>
        <w:rPr>
          <w:rFonts w:ascii="Times New Roman" w:eastAsia="宋体" w:hAnsi="Times New Roman" w:cs="Times New Roman" w:hint="eastAsia"/>
          <w:sz w:val="24"/>
          <w:szCs w:val="24"/>
        </w:rPr>
        <w:t>2,451.65</w:t>
      </w:r>
      <w:r>
        <w:rPr>
          <w:rFonts w:ascii="Times New Roman" w:eastAsia="宋体" w:hAnsi="Times New Roman" w:cs="Times New Roman" w:hint="eastAsia"/>
          <w:sz w:val="24"/>
          <w:szCs w:val="24"/>
        </w:rPr>
        <w:t>）</w:t>
      </w:r>
      <w:r>
        <w:rPr>
          <w:rFonts w:ascii="Times New Roman" w:eastAsia="宋体" w:hAnsi="Times New Roman" w:cs="Times New Roman"/>
          <w:sz w:val="24"/>
          <w:szCs w:val="24"/>
        </w:rPr>
        <w:t>×l00%</w:t>
      </w:r>
      <w:r>
        <w:rPr>
          <w:rFonts w:ascii="Times New Roman" w:eastAsia="宋体" w:hAnsi="Times New Roman" w:cs="Times New Roman" w:hint="eastAsia"/>
          <w:sz w:val="24"/>
          <w:szCs w:val="24"/>
        </w:rPr>
        <w:t>=</w:t>
      </w:r>
      <w:r>
        <w:rPr>
          <w:rFonts w:ascii="Times New Roman" w:eastAsia="宋体" w:hAnsi="Times New Roman" w:cs="Times New Roman"/>
          <w:sz w:val="24"/>
          <w:szCs w:val="24"/>
        </w:rPr>
        <w:t>100</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w:t>
      </w:r>
    </w:p>
    <w:p w:rsidR="00D23886" w:rsidRDefault="007B2FA1">
      <w:pPr>
        <w:pStyle w:val="a0"/>
        <w:rPr>
          <w:rFonts w:hAnsi="Times New Roman" w:cs="Times New Roman"/>
          <w:b/>
          <w:bCs/>
          <w:sz w:val="24"/>
        </w:rPr>
      </w:pPr>
      <w:r>
        <w:rPr>
          <w:rFonts w:hint="eastAsia"/>
        </w:rPr>
        <w:t xml:space="preserve">   </w:t>
      </w:r>
      <w:r>
        <w:rPr>
          <w:rFonts w:hAnsi="Times New Roman" w:cs="Times New Roman" w:hint="eastAsia"/>
          <w:b/>
          <w:bCs/>
          <w:sz w:val="24"/>
        </w:rPr>
        <w:t>B202</w:t>
      </w:r>
      <w:r>
        <w:rPr>
          <w:rFonts w:hAnsi="Times New Roman" w:cs="Times New Roman" w:hint="eastAsia"/>
          <w:b/>
          <w:bCs/>
          <w:sz w:val="24"/>
        </w:rPr>
        <w:t>资金到位及时率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及时到位资金与应到位资金的比率，用以反映和考核项目资金落实的及时性程度。</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该项目资金支付通过零余额账户划转，资金拨付时间与申请资金拨付基本同步，未见资金延迟拨付情况</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w:t>
      </w:r>
      <w:r>
        <w:rPr>
          <w:rFonts w:ascii="Times New Roman" w:eastAsia="宋体" w:hAnsi="Times New Roman" w:cs="Times New Roman" w:hint="eastAsia"/>
          <w:b/>
          <w:bCs/>
          <w:sz w:val="24"/>
          <w:szCs w:val="24"/>
        </w:rPr>
        <w:t>2</w:t>
      </w:r>
      <w:r>
        <w:rPr>
          <w:rFonts w:ascii="Times New Roman" w:eastAsia="宋体" w:hAnsi="Times New Roman" w:cs="Times New Roman"/>
          <w:b/>
          <w:bCs/>
          <w:sz w:val="24"/>
          <w:szCs w:val="24"/>
        </w:rPr>
        <w:t>03</w:t>
      </w:r>
      <w:r>
        <w:rPr>
          <w:rFonts w:ascii="Times New Roman" w:eastAsia="宋体" w:hAnsi="Times New Roman" w:cs="Times New Roman" w:hint="eastAsia"/>
          <w:b/>
          <w:bCs/>
          <w:sz w:val="24"/>
          <w:szCs w:val="24"/>
        </w:rPr>
        <w:t>预算执行</w:t>
      </w:r>
      <w:r>
        <w:rPr>
          <w:rFonts w:ascii="Times New Roman" w:eastAsia="宋体" w:hAnsi="Times New Roman" w:cs="Times New Roman"/>
          <w:b/>
          <w:bCs/>
          <w:sz w:val="24"/>
          <w:szCs w:val="24"/>
        </w:rPr>
        <w:t>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项目预算资金是否按照计划执行，用以反映或考核项目预算执行情况。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资金预算执行率</w:t>
      </w:r>
      <w:r>
        <w:rPr>
          <w:rFonts w:ascii="Times New Roman" w:eastAsia="宋体" w:hAnsi="Times New Roman" w:cs="Times New Roman"/>
          <w:sz w:val="24"/>
          <w:szCs w:val="24"/>
        </w:rPr>
        <w:t>=</w:t>
      </w:r>
      <w:r>
        <w:rPr>
          <w:rFonts w:ascii="Times New Roman" w:eastAsia="宋体" w:hAnsi="Times New Roman" w:cs="Times New Roman"/>
          <w:sz w:val="24"/>
          <w:szCs w:val="24"/>
        </w:rPr>
        <w:t>（实际支出资金</w:t>
      </w:r>
      <w:r>
        <w:rPr>
          <w:rFonts w:ascii="Times New Roman" w:eastAsia="宋体" w:hAnsi="Times New Roman" w:cs="Times New Roman"/>
          <w:sz w:val="24"/>
          <w:szCs w:val="24"/>
        </w:rPr>
        <w:t>÷</w:t>
      </w:r>
      <w:r>
        <w:rPr>
          <w:rFonts w:ascii="Times New Roman" w:eastAsia="宋体" w:hAnsi="Times New Roman" w:cs="Times New Roman"/>
          <w:sz w:val="24"/>
          <w:szCs w:val="24"/>
        </w:rPr>
        <w:t>实际到位资金</w:t>
      </w:r>
      <w:r>
        <w:rPr>
          <w:rFonts w:ascii="Times New Roman" w:eastAsia="宋体" w:hAnsi="Times New Roman" w:cs="Times New Roman" w:hint="eastAsia"/>
          <w:sz w:val="24"/>
          <w:szCs w:val="24"/>
        </w:rPr>
        <w:t>）</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该项目批复专项资金</w:t>
      </w:r>
      <w:r>
        <w:rPr>
          <w:rFonts w:ascii="Times New Roman" w:eastAsia="宋体" w:hAnsi="Times New Roman" w:cs="Times New Roman" w:hint="eastAsia"/>
          <w:sz w:val="24"/>
          <w:szCs w:val="24"/>
        </w:rPr>
        <w:t>2,451.65</w:t>
      </w:r>
      <w:r>
        <w:rPr>
          <w:rFonts w:ascii="Times New Roman" w:eastAsia="宋体" w:hAnsi="Times New Roman" w:cs="Times New Roman"/>
          <w:sz w:val="24"/>
          <w:szCs w:val="24"/>
        </w:rPr>
        <w:t>万元，实际项目支付资金</w:t>
      </w:r>
      <w:r>
        <w:rPr>
          <w:rFonts w:ascii="Times New Roman" w:eastAsia="宋体" w:hAnsi="Times New Roman" w:cs="Times New Roman" w:hint="eastAsia"/>
          <w:sz w:val="24"/>
          <w:szCs w:val="24"/>
        </w:rPr>
        <w:t>1,896.00</w:t>
      </w:r>
      <w:r>
        <w:rPr>
          <w:rFonts w:ascii="Times New Roman" w:eastAsia="宋体" w:hAnsi="Times New Roman" w:cs="Times New Roman" w:hint="eastAsia"/>
          <w:sz w:val="24"/>
          <w:szCs w:val="24"/>
        </w:rPr>
        <w:t>万元</w:t>
      </w:r>
      <w:r>
        <w:rPr>
          <w:rFonts w:ascii="Times New Roman" w:eastAsia="宋体" w:hAnsi="Times New Roman" w:cs="Times New Roman"/>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该项目资金预算执行率</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1,896.00/2,451.65</w:t>
      </w:r>
      <w:r>
        <w:rPr>
          <w:rFonts w:ascii="Times New Roman" w:eastAsia="宋体" w:hAnsi="Times New Roman" w:cs="Times New Roman" w:hint="eastAsia"/>
          <w:sz w:val="24"/>
          <w:szCs w:val="24"/>
        </w:rPr>
        <w:t>）</w:t>
      </w:r>
      <w:r>
        <w:rPr>
          <w:rFonts w:ascii="Times New Roman" w:eastAsia="宋体" w:hAnsi="Times New Roman" w:cs="Times New Roman"/>
          <w:sz w:val="24"/>
          <w:szCs w:val="24"/>
        </w:rPr>
        <w:t>×100%</w:t>
      </w:r>
      <w:r>
        <w:rPr>
          <w:rFonts w:ascii="Times New Roman" w:eastAsia="宋体" w:hAnsi="Times New Roman" w:cs="Times New Roman" w:hint="eastAsia"/>
          <w:sz w:val="24"/>
          <w:szCs w:val="24"/>
        </w:rPr>
        <w:t>=77.34%</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3*</w:t>
      </w:r>
      <w:r>
        <w:rPr>
          <w:rFonts w:ascii="Times New Roman" w:eastAsia="宋体" w:hAnsi="Times New Roman" w:cs="Times New Roman" w:hint="eastAsia"/>
          <w:sz w:val="24"/>
          <w:szCs w:val="24"/>
        </w:rPr>
        <w:t>77.34%</w:t>
      </w:r>
      <w:r>
        <w:rPr>
          <w:rFonts w:ascii="Times New Roman" w:eastAsia="宋体" w:hAnsi="Times New Roman" w:cs="Times New Roman"/>
          <w:sz w:val="24"/>
          <w:szCs w:val="24"/>
        </w:rPr>
        <w:t>=</w:t>
      </w:r>
      <w:r>
        <w:rPr>
          <w:rFonts w:ascii="Times New Roman" w:eastAsia="宋体" w:hAnsi="Times New Roman" w:cs="Times New Roman" w:hint="eastAsia"/>
          <w:sz w:val="24"/>
          <w:szCs w:val="24"/>
        </w:rPr>
        <w:t>2.29</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w:t>
      </w:r>
      <w:r>
        <w:rPr>
          <w:rFonts w:ascii="Times New Roman" w:eastAsia="宋体" w:hAnsi="Times New Roman" w:cs="Times New Roman" w:hint="eastAsia"/>
          <w:b/>
          <w:bCs/>
          <w:sz w:val="24"/>
          <w:szCs w:val="24"/>
        </w:rPr>
        <w:t>2</w:t>
      </w:r>
      <w:r>
        <w:rPr>
          <w:rFonts w:ascii="Times New Roman" w:eastAsia="宋体" w:hAnsi="Times New Roman" w:cs="Times New Roman"/>
          <w:b/>
          <w:bCs/>
          <w:sz w:val="24"/>
          <w:szCs w:val="24"/>
        </w:rPr>
        <w:t>04</w:t>
      </w:r>
      <w:r>
        <w:rPr>
          <w:rFonts w:ascii="Times New Roman" w:eastAsia="宋体" w:hAnsi="Times New Roman" w:cs="Times New Roman"/>
          <w:b/>
          <w:bCs/>
          <w:sz w:val="24"/>
          <w:szCs w:val="24"/>
        </w:rPr>
        <w:t>资金使用合规性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项目资金使用是否符合相关的财务管理制度规定，用以反映和考核项目资金的规范运行情况：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该项目资金使用符合国家财经法规和财务管理制度的要求；资金的拨付有上级财政批复文件《西青财指【</w:t>
      </w:r>
      <w:r>
        <w:rPr>
          <w:rFonts w:ascii="Times New Roman" w:eastAsia="宋体" w:hAnsi="Times New Roman" w:cs="Times New Roman"/>
          <w:sz w:val="24"/>
          <w:szCs w:val="24"/>
        </w:rPr>
        <w:t>2021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269</w:t>
      </w:r>
      <w:r>
        <w:rPr>
          <w:rFonts w:ascii="Times New Roman" w:eastAsia="宋体" w:hAnsi="Times New Roman" w:cs="Times New Roman" w:hint="eastAsia"/>
          <w:sz w:val="24"/>
          <w:szCs w:val="24"/>
        </w:rPr>
        <w:t>号》；经凭证及附件核查：该项目资金支付符合项目预算批复的用途且未见资金截留、挤占、挪用、虚列支出等情况；西青区卫健委按照规定通过零余额账户核算，资金收支不存在结余资金。评价过程中未见本项目在审计、巡视、财政检查等报告中提出有涉及本项的重大违纪行为情况。</w:t>
      </w:r>
    </w:p>
    <w:p w:rsidR="00D23886" w:rsidRDefault="007B2FA1">
      <w:pPr>
        <w:snapToGrid w:val="0"/>
        <w:spacing w:line="360" w:lineRule="auto"/>
        <w:ind w:firstLineChars="200" w:firstLine="480"/>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10</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10</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过程管理</w:t>
      </w:r>
      <w:r>
        <w:rPr>
          <w:rFonts w:ascii="Times New Roman" w:eastAsia="宋体" w:hAnsi="Times New Roman" w:cs="Times New Roman"/>
          <w:b/>
          <w:bCs/>
          <w:sz w:val="24"/>
          <w:szCs w:val="24"/>
        </w:rPr>
        <w:t>指标得分</w:t>
      </w:r>
      <w:r>
        <w:rPr>
          <w:rFonts w:ascii="Times New Roman" w:eastAsia="宋体" w:hAnsi="Times New Roman" w:cs="Times New Roman" w:hint="eastAsia"/>
          <w:b/>
          <w:bCs/>
          <w:sz w:val="24"/>
          <w:szCs w:val="24"/>
        </w:rPr>
        <w:t>29.29</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组织实施</w:t>
      </w:r>
      <w:r>
        <w:rPr>
          <w:rFonts w:ascii="Times New Roman" w:eastAsia="宋体" w:hAnsi="Times New Roman" w:cs="Times New Roman"/>
          <w:b/>
          <w:bCs/>
          <w:sz w:val="24"/>
          <w:szCs w:val="24"/>
        </w:rPr>
        <w:t>指标得</w:t>
      </w:r>
      <w:r>
        <w:rPr>
          <w:rFonts w:ascii="Times New Roman" w:eastAsia="宋体" w:hAnsi="Times New Roman" w:cs="Times New Roman" w:hint="eastAsia"/>
          <w:b/>
          <w:bCs/>
          <w:sz w:val="24"/>
          <w:szCs w:val="24"/>
        </w:rPr>
        <w:t>11</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资金管理指标得</w:t>
      </w:r>
      <w:r>
        <w:rPr>
          <w:rFonts w:ascii="Times New Roman" w:eastAsia="宋体" w:hAnsi="Times New Roman" w:cs="Times New Roman" w:hint="eastAsia"/>
          <w:b/>
          <w:bCs/>
          <w:sz w:val="24"/>
          <w:szCs w:val="24"/>
        </w:rPr>
        <w:t>18.29</w:t>
      </w:r>
      <w:r>
        <w:rPr>
          <w:rFonts w:ascii="Times New Roman" w:eastAsia="宋体" w:hAnsi="Times New Roman" w:cs="Times New Roman" w:hint="eastAsia"/>
          <w:b/>
          <w:bCs/>
          <w:sz w:val="24"/>
          <w:szCs w:val="24"/>
        </w:rPr>
        <w:t>分</w:t>
      </w:r>
      <w:r>
        <w:rPr>
          <w:rFonts w:ascii="Times New Roman" w:eastAsia="宋体" w:hAnsi="Times New Roman" w:cs="Times New Roman"/>
          <w:b/>
          <w:bCs/>
          <w:sz w:val="24"/>
          <w:szCs w:val="24"/>
        </w:rPr>
        <w:t>。</w:t>
      </w:r>
    </w:p>
    <w:p w:rsidR="00D23886" w:rsidRDefault="007B2FA1">
      <w:pPr>
        <w:pStyle w:val="3"/>
        <w:ind w:leftChars="0" w:left="0" w:firstLineChars="200" w:firstLine="482"/>
        <w:rPr>
          <w:rFonts w:ascii="Times New Roman" w:eastAsia="宋体" w:hAnsi="Times New Roman" w:cs="Times New Roman"/>
          <w:sz w:val="24"/>
          <w:szCs w:val="24"/>
        </w:rPr>
      </w:pPr>
      <w:bookmarkStart w:id="47" w:name="_Toc85135193"/>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产出</w:t>
      </w:r>
      <w:r>
        <w:rPr>
          <w:rFonts w:ascii="Times New Roman" w:eastAsia="宋体" w:hAnsi="Times New Roman" w:cs="Times New Roman"/>
          <w:sz w:val="24"/>
          <w:szCs w:val="24"/>
        </w:rPr>
        <w:t>（</w:t>
      </w:r>
      <w:r>
        <w:rPr>
          <w:rFonts w:ascii="Times New Roman" w:eastAsia="宋体" w:hAnsi="Times New Roman" w:cs="Times New Roman" w:hint="eastAsia"/>
          <w:sz w:val="24"/>
          <w:szCs w:val="24"/>
        </w:rPr>
        <w:t>18</w:t>
      </w:r>
      <w:r>
        <w:rPr>
          <w:rFonts w:ascii="Times New Roman" w:eastAsia="宋体" w:hAnsi="Times New Roman" w:cs="Times New Roman"/>
          <w:sz w:val="24"/>
          <w:szCs w:val="24"/>
        </w:rPr>
        <w:t>分）</w:t>
      </w:r>
      <w:bookmarkEnd w:id="47"/>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产出</w:t>
      </w:r>
      <w:r>
        <w:rPr>
          <w:rFonts w:ascii="Times New Roman" w:eastAsia="宋体" w:hAnsi="Times New Roman" w:cs="Times New Roman"/>
          <w:sz w:val="24"/>
          <w:szCs w:val="24"/>
        </w:rPr>
        <w:t>类指标由</w:t>
      </w:r>
      <w:r>
        <w:rPr>
          <w:rFonts w:ascii="Times New Roman" w:eastAsia="宋体" w:hAnsi="Times New Roman" w:cs="Times New Roman" w:hint="eastAsia"/>
          <w:sz w:val="24"/>
          <w:szCs w:val="24"/>
        </w:rPr>
        <w:t>2</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sz w:val="24"/>
          <w:szCs w:val="24"/>
        </w:rPr>
        <w:t>个三级指标构成，权重</w:t>
      </w:r>
      <w:r>
        <w:rPr>
          <w:rFonts w:ascii="Times New Roman" w:eastAsia="宋体" w:hAnsi="Times New Roman" w:cs="Times New Roman" w:hint="eastAsia"/>
          <w:sz w:val="24"/>
          <w:szCs w:val="24"/>
        </w:rPr>
        <w:t>18</w:t>
      </w:r>
      <w:r>
        <w:rPr>
          <w:rFonts w:ascii="Times New Roman" w:eastAsia="宋体" w:hAnsi="Times New Roman" w:cs="Times New Roman"/>
          <w:sz w:val="24"/>
          <w:szCs w:val="24"/>
        </w:rPr>
        <w:t>分，实际得分</w:t>
      </w:r>
      <w:r w:rsidRPr="00FB1416">
        <w:rPr>
          <w:rFonts w:ascii="Times New Roman" w:eastAsia="宋体" w:hAnsi="Times New Roman" w:cs="Times New Roman" w:hint="eastAsia"/>
          <w:sz w:val="24"/>
          <w:szCs w:val="24"/>
        </w:rPr>
        <w:t>11.5</w:t>
      </w:r>
      <w:r w:rsidRPr="00FB1416">
        <w:rPr>
          <w:rFonts w:ascii="Times New Roman" w:eastAsia="宋体" w:hAnsi="Times New Roman" w:cs="Times New Roman"/>
          <w:sz w:val="24"/>
          <w:szCs w:val="24"/>
        </w:rPr>
        <w:t>9</w:t>
      </w:r>
      <w:r w:rsidRPr="00FB1416">
        <w:rPr>
          <w:rFonts w:ascii="Times New Roman" w:eastAsia="宋体" w:hAnsi="Times New Roman" w:cs="Times New Roman"/>
          <w:sz w:val="24"/>
          <w:szCs w:val="24"/>
        </w:rPr>
        <w:t>分</w:t>
      </w:r>
      <w:r>
        <w:rPr>
          <w:rFonts w:ascii="Times New Roman" w:eastAsia="宋体" w:hAnsi="Times New Roman" w:cs="Times New Roman"/>
          <w:sz w:val="24"/>
          <w:szCs w:val="24"/>
        </w:rPr>
        <w:t>，各指标业绩值和绩效分值如表</w:t>
      </w:r>
      <w:r>
        <w:rPr>
          <w:rFonts w:ascii="Times New Roman" w:eastAsia="宋体" w:hAnsi="Times New Roman" w:cs="Times New Roman"/>
          <w:sz w:val="24"/>
          <w:szCs w:val="24"/>
        </w:rPr>
        <w:t>5</w:t>
      </w:r>
      <w:r>
        <w:rPr>
          <w:rFonts w:ascii="Times New Roman" w:eastAsia="宋体" w:hAnsi="Times New Roman" w:cs="Times New Roman"/>
          <w:sz w:val="24"/>
          <w:szCs w:val="24"/>
        </w:rPr>
        <w:t>所示：</w:t>
      </w:r>
    </w:p>
    <w:p w:rsidR="00D23886" w:rsidRDefault="007B2FA1">
      <w:pPr>
        <w:snapToGrid w:val="0"/>
        <w:spacing w:line="360" w:lineRule="auto"/>
        <w:ind w:firstLineChars="300" w:firstLine="723"/>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5.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产出</w:t>
      </w:r>
      <w:r>
        <w:rPr>
          <w:rFonts w:ascii="Times New Roman" w:eastAsia="宋体" w:hAnsi="Times New Roman" w:cs="Times New Roman"/>
          <w:b/>
          <w:bCs/>
          <w:sz w:val="24"/>
          <w:szCs w:val="24"/>
        </w:rPr>
        <w:t>类指标评分表</w:t>
      </w:r>
    </w:p>
    <w:tbl>
      <w:tblPr>
        <w:tblW w:w="4997" w:type="pct"/>
        <w:tblLook w:val="04A0"/>
      </w:tblPr>
      <w:tblGrid>
        <w:gridCol w:w="616"/>
        <w:gridCol w:w="616"/>
        <w:gridCol w:w="457"/>
        <w:gridCol w:w="1784"/>
        <w:gridCol w:w="950"/>
        <w:gridCol w:w="616"/>
        <w:gridCol w:w="3478"/>
      </w:tblGrid>
      <w:tr w:rsidR="00D23886">
        <w:trPr>
          <w:trHeight w:val="570"/>
        </w:trPr>
        <w:tc>
          <w:tcPr>
            <w:tcW w:w="234"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二级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93"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三级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34"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分值</w:t>
            </w:r>
          </w:p>
        </w:tc>
        <w:tc>
          <w:tcPr>
            <w:tcW w:w="1166"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指标解释</w:t>
            </w:r>
          </w:p>
        </w:tc>
        <w:tc>
          <w:tcPr>
            <w:tcW w:w="676"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评分标准</w:t>
            </w:r>
          </w:p>
        </w:tc>
        <w:tc>
          <w:tcPr>
            <w:tcW w:w="234"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得分</w:t>
            </w:r>
          </w:p>
        </w:tc>
        <w:tc>
          <w:tcPr>
            <w:tcW w:w="2159" w:type="pct"/>
            <w:tcBorders>
              <w:top w:val="single" w:sz="8" w:space="0" w:color="000000"/>
              <w:left w:val="single" w:sz="4" w:space="0" w:color="000000"/>
              <w:bottom w:val="single" w:sz="4" w:space="0" w:color="000000"/>
              <w:right w:val="single" w:sz="8"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评分依据</w:t>
            </w:r>
          </w:p>
        </w:tc>
      </w:tr>
      <w:tr w:rsidR="00D23886">
        <w:trPr>
          <w:trHeight w:val="960"/>
        </w:trPr>
        <w:tc>
          <w:tcPr>
            <w:tcW w:w="234" w:type="pct"/>
            <w:vMerge w:val="restart"/>
            <w:tcBorders>
              <w:top w:val="single" w:sz="4" w:space="0" w:color="000000"/>
              <w:left w:val="single" w:sz="8" w:space="0" w:color="000000"/>
              <w:bottom w:val="nil"/>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C1产出质量</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（9分）</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C101站点运行配置率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用以反映和考评部门（单位）站点实际配置情况。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站点配置率=各中心2021年实际运行的站点数量/2021年预算站点运行数量*分值*100%，该项分值3分，按公式计算得分。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2.26 </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该项目在2021年度加权平均站点实际开放数54.25个（根据各中心上报2021年度实际站点开放月数加权统计），预算开放站点数量为72个（西青财请【2021】88号），该项目得分为54.25/72*3*100%=2.26。</w:t>
            </w:r>
          </w:p>
        </w:tc>
      </w:tr>
      <w:tr w:rsidR="00D23886">
        <w:trPr>
          <w:trHeight w:val="960"/>
        </w:trPr>
        <w:tc>
          <w:tcPr>
            <w:tcW w:w="234" w:type="pct"/>
            <w:vMerge/>
            <w:tcBorders>
              <w:top w:val="single" w:sz="4" w:space="0" w:color="000000"/>
              <w:left w:val="single" w:sz="8" w:space="0" w:color="000000"/>
              <w:bottom w:val="nil"/>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C102站点人员配置率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用以反映和考评部门（单位）站点人员实际配置情况。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站点人员配置率=2021年各中心站点实际人员数量/2021年预算站点人员数量*分值*100%，该项分值3分，按公式计算得分。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该项目2021年各中心站点实际人员配置数量253人（西青区卫健委人事科汇总至财务科明细），2021年预算上报人员数量319人（西青财请【2021】88号），该项目得分为253/319*3*100%=2.38。</w:t>
            </w:r>
          </w:p>
        </w:tc>
      </w:tr>
      <w:tr w:rsidR="00D23886">
        <w:trPr>
          <w:trHeight w:val="960"/>
        </w:trPr>
        <w:tc>
          <w:tcPr>
            <w:tcW w:w="234" w:type="pct"/>
            <w:vMerge/>
            <w:tcBorders>
              <w:top w:val="single" w:sz="4" w:space="0" w:color="000000"/>
              <w:left w:val="single" w:sz="8" w:space="0" w:color="000000"/>
              <w:bottom w:val="nil"/>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C103运行费用配置率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用以反映和考评部门（单位）站点运行费用本年实际配置情况。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运行费用配置率=2021年各中心实际运行费用/2021年预算运行费用*分值*100%，该项分值3分，按公式计算得分。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2.61</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该项目2021年底按照站点开放数量发放的运行费用共计187.59万元（卫健委2021明细账），2021年预算上报运行费用219万元（西青财请【2021】88号），该项目得分为187.59/219*3*100%=2.61。</w:t>
            </w:r>
          </w:p>
        </w:tc>
      </w:tr>
      <w:tr w:rsidR="00D23886">
        <w:trPr>
          <w:trHeight w:val="960"/>
        </w:trPr>
        <w:tc>
          <w:tcPr>
            <w:tcW w:w="234" w:type="pct"/>
            <w:vMerge w:val="restart"/>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C2产出时效</w:t>
            </w:r>
          </w:p>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（9分）</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C201站点完成率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用以反映和考评实际站点开放情况。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站点完成率=各中心2021实际运行站点数量/总规划站点数量*分值*100%，该项分值3分，按公式计算得分。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1.48 </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该项目在2021年度加权平均站点实际开放数54.25个（根据各中心上报2021年度实际站点开放月数加权统计），根据筑底项目总规划站点数量110个（西青政办发【2017】57号），该项目得分为54.25/110*3*100%=1.48。</w:t>
            </w:r>
          </w:p>
        </w:tc>
      </w:tr>
      <w:tr w:rsidR="00D23886">
        <w:trPr>
          <w:trHeight w:val="960"/>
        </w:trPr>
        <w:tc>
          <w:tcPr>
            <w:tcW w:w="234" w:type="pct"/>
            <w:vMerge/>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C202站点人员完成率</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用以反映和考评站点实际人员配备完成情况。</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站点人员完成率=2021年各中心站点实际人员数量/总规划站点人员数量*分值*100%，该项分值3分，按公式计算得分。</w:t>
            </w:r>
          </w:p>
        </w:tc>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1.15</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该项目2021年度各中心站点实际人员数量253人（西青区卫健委人事科汇总至财务科明细），筑底项目总规划站点人员数量660人（西青政办发【2017】57号），该项目得分为253/660*3*100%=1.15。</w:t>
            </w:r>
          </w:p>
        </w:tc>
      </w:tr>
      <w:tr w:rsidR="00D23886">
        <w:trPr>
          <w:trHeight w:val="975"/>
        </w:trPr>
        <w:tc>
          <w:tcPr>
            <w:tcW w:w="234" w:type="pct"/>
            <w:vMerge/>
            <w:tcBorders>
              <w:top w:val="single" w:sz="4" w:space="0" w:color="000000"/>
              <w:left w:val="single" w:sz="8" w:space="0" w:color="000000"/>
              <w:bottom w:val="single" w:sz="8"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3"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C203运行费用完成率</w:t>
            </w:r>
          </w:p>
        </w:tc>
        <w:tc>
          <w:tcPr>
            <w:tcW w:w="234"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166"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用以反映和考评本年实际站点运行费用完成情况。</w:t>
            </w:r>
          </w:p>
        </w:tc>
        <w:tc>
          <w:tcPr>
            <w:tcW w:w="676"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运行费用完成效=2021年各中心实际运行费用/年度总规划运行费用*分值*100%，该项分值3分，按公式计算得分。</w:t>
            </w:r>
          </w:p>
        </w:tc>
        <w:tc>
          <w:tcPr>
            <w:tcW w:w="234"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1.71</w:t>
            </w:r>
          </w:p>
        </w:tc>
        <w:tc>
          <w:tcPr>
            <w:tcW w:w="2159" w:type="pct"/>
            <w:tcBorders>
              <w:top w:val="single" w:sz="4" w:space="0" w:color="000000"/>
              <w:left w:val="single" w:sz="4" w:space="0" w:color="000000"/>
              <w:bottom w:val="single" w:sz="8"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该项目2021年底按照站点开放数量发放的运行费用共计187.59万元（卫健委2021明细账），筑底项目年度总规划运行费用330万（西青政办发【2017】57号），该项目得分为187.59/330*3*100%=1.71。</w:t>
            </w:r>
          </w:p>
        </w:tc>
      </w:tr>
    </w:tbl>
    <w:p w:rsidR="00D23886" w:rsidRDefault="00D23886" w:rsidP="00AE3453">
      <w:pPr>
        <w:snapToGrid w:val="0"/>
        <w:spacing w:beforeLines="50" w:line="360" w:lineRule="auto"/>
        <w:ind w:firstLineChars="200" w:firstLine="482"/>
        <w:rPr>
          <w:rFonts w:ascii="Times New Roman" w:eastAsia="宋体" w:hAnsi="Times New Roman" w:cs="Times New Roman"/>
          <w:b/>
          <w:bCs/>
          <w:sz w:val="24"/>
          <w:szCs w:val="24"/>
        </w:rPr>
      </w:pPr>
    </w:p>
    <w:p w:rsidR="00D23886" w:rsidRDefault="007B2FA1" w:rsidP="00AE3453">
      <w:pPr>
        <w:snapToGrid w:val="0"/>
        <w:spacing w:beforeLines="50"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3.1</w:t>
      </w:r>
      <w:r>
        <w:rPr>
          <w:rFonts w:ascii="Times New Roman" w:eastAsia="宋体" w:hAnsi="Times New Roman" w:cs="Times New Roman"/>
          <w:b/>
          <w:bCs/>
          <w:sz w:val="24"/>
          <w:szCs w:val="24"/>
        </w:rPr>
        <w:t>产出</w:t>
      </w:r>
      <w:r>
        <w:rPr>
          <w:rFonts w:ascii="Times New Roman" w:eastAsia="宋体" w:hAnsi="Times New Roman" w:cs="Times New Roman" w:hint="eastAsia"/>
          <w:b/>
          <w:bCs/>
          <w:sz w:val="24"/>
          <w:szCs w:val="24"/>
        </w:rPr>
        <w:t>质量</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C101</w:t>
      </w:r>
      <w:r>
        <w:rPr>
          <w:rFonts w:ascii="Times New Roman" w:eastAsia="宋体" w:hAnsi="Times New Roman" w:cs="Times New Roman" w:hint="eastAsia"/>
          <w:b/>
          <w:bCs/>
          <w:sz w:val="24"/>
          <w:szCs w:val="24"/>
        </w:rPr>
        <w:t>站点运行配置率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该指标主要用以反映和考评部门（单位）站点实际配置情况。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年实际运行站点数量和</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年预算申报站点数量测算站点运行率：</w:t>
      </w:r>
    </w:p>
    <w:p w:rsidR="00D23886" w:rsidRDefault="007B2FA1">
      <w:pPr>
        <w:pStyle w:val="a0"/>
        <w:spacing w:line="360" w:lineRule="auto"/>
        <w:ind w:firstLineChars="200" w:firstLine="480"/>
        <w:rPr>
          <w:rFonts w:hAnsi="Times New Roman" w:cs="Times New Roman"/>
          <w:sz w:val="24"/>
        </w:rPr>
      </w:pPr>
      <w:r>
        <w:rPr>
          <w:rFonts w:hAnsi="Times New Roman" w:cs="Times New Roman" w:hint="eastAsia"/>
          <w:sz w:val="24"/>
        </w:rPr>
        <w:t>站点运行配置率</w:t>
      </w:r>
      <w:r>
        <w:rPr>
          <w:rFonts w:hAnsi="Times New Roman" w:cs="Times New Roman" w:hint="eastAsia"/>
          <w:sz w:val="24"/>
        </w:rPr>
        <w:t>=</w:t>
      </w:r>
      <w:r>
        <w:rPr>
          <w:rFonts w:hAnsi="Times New Roman" w:cs="Times New Roman" w:hint="eastAsia"/>
          <w:sz w:val="24"/>
        </w:rPr>
        <w:t>各中心</w:t>
      </w:r>
      <w:r>
        <w:rPr>
          <w:rFonts w:hAnsi="Times New Roman" w:cs="Times New Roman" w:hint="eastAsia"/>
          <w:sz w:val="24"/>
        </w:rPr>
        <w:t>2021</w:t>
      </w:r>
      <w:r>
        <w:rPr>
          <w:rFonts w:hAnsi="Times New Roman" w:cs="Times New Roman" w:hint="eastAsia"/>
          <w:sz w:val="24"/>
        </w:rPr>
        <w:t>年实际运行站点数量</w:t>
      </w:r>
      <w:r>
        <w:rPr>
          <w:rFonts w:hAnsi="Times New Roman" w:cs="Times New Roman" w:hint="eastAsia"/>
          <w:sz w:val="24"/>
        </w:rPr>
        <w:t>/2021</w:t>
      </w:r>
      <w:r>
        <w:rPr>
          <w:rFonts w:hAnsi="Times New Roman" w:cs="Times New Roman" w:hint="eastAsia"/>
          <w:sz w:val="24"/>
        </w:rPr>
        <w:t>年预算站点运行数量</w:t>
      </w:r>
      <w:r>
        <w:rPr>
          <w:rFonts w:hAnsi="Times New Roman" w:cs="Times New Roman" w:hint="eastAsia"/>
          <w:sz w:val="24"/>
        </w:rPr>
        <w:t>*</w:t>
      </w:r>
      <w:r>
        <w:rPr>
          <w:rFonts w:hAnsi="Times New Roman" w:cs="Times New Roman" w:hint="eastAsia"/>
          <w:sz w:val="24"/>
        </w:rPr>
        <w:t>分值</w:t>
      </w:r>
      <w:r>
        <w:rPr>
          <w:rFonts w:hAnsi="Times New Roman" w:cs="Times New Roman" w:hint="eastAsia"/>
          <w:sz w:val="24"/>
        </w:rPr>
        <w:t>*100%</w:t>
      </w:r>
    </w:p>
    <w:p w:rsidR="00D23886" w:rsidRDefault="007B2FA1">
      <w:pPr>
        <w:pStyle w:val="a0"/>
        <w:spacing w:line="360" w:lineRule="auto"/>
        <w:ind w:firstLineChars="200" w:firstLine="480"/>
        <w:rPr>
          <w:rFonts w:hAnsi="Times New Roman" w:cs="Times New Roman"/>
          <w:sz w:val="24"/>
        </w:rPr>
      </w:pPr>
      <w:r>
        <w:rPr>
          <w:rFonts w:hAnsi="Times New Roman" w:cs="Times New Roman" w:hint="eastAsia"/>
          <w:sz w:val="24"/>
        </w:rPr>
        <w:t>该项目在</w:t>
      </w:r>
      <w:r>
        <w:rPr>
          <w:rFonts w:hAnsi="Times New Roman" w:cs="Times New Roman" w:hint="eastAsia"/>
          <w:sz w:val="24"/>
        </w:rPr>
        <w:t>2021</w:t>
      </w:r>
      <w:r>
        <w:rPr>
          <w:rFonts w:hAnsi="Times New Roman" w:cs="Times New Roman" w:hint="eastAsia"/>
          <w:sz w:val="24"/>
        </w:rPr>
        <w:t>年度加权平均站点实际开放数</w:t>
      </w:r>
      <w:r>
        <w:rPr>
          <w:rFonts w:hAnsi="Times New Roman" w:cs="Times New Roman" w:hint="eastAsia"/>
          <w:sz w:val="24"/>
        </w:rPr>
        <w:t>54.25</w:t>
      </w:r>
      <w:r>
        <w:rPr>
          <w:rFonts w:hAnsi="Times New Roman" w:cs="Times New Roman" w:hint="eastAsia"/>
          <w:sz w:val="24"/>
        </w:rPr>
        <w:t>个（根据各中心上报</w:t>
      </w:r>
      <w:r>
        <w:rPr>
          <w:rFonts w:hAnsi="Times New Roman" w:cs="Times New Roman" w:hint="eastAsia"/>
          <w:sz w:val="24"/>
        </w:rPr>
        <w:t>2021</w:t>
      </w:r>
      <w:r>
        <w:rPr>
          <w:rFonts w:hAnsi="Times New Roman" w:cs="Times New Roman" w:hint="eastAsia"/>
          <w:sz w:val="24"/>
        </w:rPr>
        <w:t>年度实际站点开放月数加权统计），预算开放站点数量为</w:t>
      </w:r>
      <w:r>
        <w:rPr>
          <w:rFonts w:hAnsi="Times New Roman" w:cs="Times New Roman" w:hint="eastAsia"/>
          <w:sz w:val="24"/>
        </w:rPr>
        <w:t>72</w:t>
      </w:r>
      <w:r>
        <w:rPr>
          <w:rFonts w:hAnsi="Times New Roman" w:cs="Times New Roman" w:hint="eastAsia"/>
          <w:sz w:val="24"/>
        </w:rPr>
        <w:t>个（西青财请【</w:t>
      </w:r>
      <w:r>
        <w:rPr>
          <w:rFonts w:hAnsi="Times New Roman" w:cs="Times New Roman" w:hint="eastAsia"/>
          <w:sz w:val="24"/>
        </w:rPr>
        <w:t>2021</w:t>
      </w:r>
      <w:r>
        <w:rPr>
          <w:rFonts w:hAnsi="Times New Roman" w:cs="Times New Roman" w:hint="eastAsia"/>
          <w:sz w:val="24"/>
        </w:rPr>
        <w:t>】</w:t>
      </w:r>
      <w:r>
        <w:rPr>
          <w:rFonts w:hAnsi="Times New Roman" w:cs="Times New Roman" w:hint="eastAsia"/>
          <w:sz w:val="24"/>
        </w:rPr>
        <w:t>88</w:t>
      </w:r>
      <w:r>
        <w:rPr>
          <w:rFonts w:hAnsi="Times New Roman" w:cs="Times New Roman" w:hint="eastAsia"/>
          <w:sz w:val="24"/>
        </w:rPr>
        <w:t>号），该项目得分为</w:t>
      </w:r>
      <w:r>
        <w:rPr>
          <w:rFonts w:hAnsi="Times New Roman" w:cs="Times New Roman" w:hint="eastAsia"/>
          <w:sz w:val="24"/>
        </w:rPr>
        <w:t>54.25/72*3*100%=2.26</w:t>
      </w:r>
      <w:r>
        <w:rPr>
          <w:rFonts w:hAnsi="Times New Roman" w:cs="Times New Roman" w:hint="eastAsia"/>
          <w:sz w:val="24"/>
        </w:rPr>
        <w:t>。</w:t>
      </w:r>
    </w:p>
    <w:p w:rsidR="00D23886" w:rsidRDefault="007B2FA1">
      <w:pPr>
        <w:spacing w:line="360" w:lineRule="auto"/>
        <w:ind w:firstLineChars="200" w:firstLine="480"/>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2.26</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C102</w:t>
      </w:r>
      <w:r>
        <w:rPr>
          <w:rFonts w:ascii="Times New Roman" w:eastAsia="宋体" w:hAnsi="Times New Roman" w:cs="Times New Roman" w:hint="eastAsia"/>
          <w:b/>
          <w:bCs/>
          <w:sz w:val="24"/>
          <w:szCs w:val="24"/>
        </w:rPr>
        <w:t>站点人员配置率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该指标主要用以反映和考评部门（单位）站点人员实际配置情况。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年实际各中心实际人员数量和</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年预算申报站点人员数量测算站点人员落实率：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站点人员配置率</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年各中心站点实际人员数量</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年预算站点人员数量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分值</w:t>
      </w:r>
      <w:r>
        <w:rPr>
          <w:rFonts w:ascii="Times New Roman" w:eastAsia="宋体" w:hAnsi="Times New Roman" w:cs="Times New Roman" w:hint="eastAsia"/>
          <w:sz w:val="24"/>
          <w:szCs w:val="24"/>
        </w:rPr>
        <w:t>*100%</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年各中心站点实际人员数量</w:t>
      </w:r>
      <w:r>
        <w:rPr>
          <w:rFonts w:ascii="Times New Roman" w:eastAsia="宋体" w:hAnsi="Times New Roman" w:cs="Times New Roman" w:hint="eastAsia"/>
          <w:sz w:val="24"/>
          <w:szCs w:val="24"/>
        </w:rPr>
        <w:t>253</w:t>
      </w:r>
      <w:r>
        <w:rPr>
          <w:rFonts w:ascii="Times New Roman" w:eastAsia="宋体" w:hAnsi="Times New Roman" w:cs="Times New Roman" w:hint="eastAsia"/>
          <w:sz w:val="24"/>
          <w:szCs w:val="24"/>
        </w:rPr>
        <w:t>人（卫健委人事科汇总至财务科明细），</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年预算上报人员数量</w:t>
      </w:r>
      <w:r>
        <w:rPr>
          <w:rFonts w:ascii="Times New Roman" w:eastAsia="宋体" w:hAnsi="Times New Roman" w:cs="Times New Roman" w:hint="eastAsia"/>
          <w:sz w:val="24"/>
          <w:szCs w:val="24"/>
        </w:rPr>
        <w:t>319</w:t>
      </w:r>
      <w:r>
        <w:rPr>
          <w:rFonts w:ascii="Times New Roman" w:eastAsia="宋体" w:hAnsi="Times New Roman" w:cs="Times New Roman" w:hint="eastAsia"/>
          <w:sz w:val="24"/>
          <w:szCs w:val="24"/>
        </w:rPr>
        <w:t>人（西青财请【</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88</w:t>
      </w:r>
      <w:r>
        <w:rPr>
          <w:rFonts w:ascii="Times New Roman" w:eastAsia="宋体" w:hAnsi="Times New Roman" w:cs="Times New Roman" w:hint="eastAsia"/>
          <w:sz w:val="24"/>
          <w:szCs w:val="24"/>
        </w:rPr>
        <w:t>号），该项目得分为</w:t>
      </w:r>
      <w:r>
        <w:rPr>
          <w:rFonts w:ascii="Times New Roman" w:eastAsia="宋体" w:hAnsi="Times New Roman" w:cs="Times New Roman" w:hint="eastAsia"/>
          <w:sz w:val="24"/>
          <w:szCs w:val="24"/>
        </w:rPr>
        <w:t>253/319*3*100%=2.38</w:t>
      </w:r>
      <w:r>
        <w:rPr>
          <w:rFonts w:ascii="Times New Roman" w:eastAsia="宋体" w:hAnsi="Times New Roman" w:cs="Times New Roman" w:hint="eastAsia"/>
          <w:sz w:val="24"/>
          <w:szCs w:val="24"/>
        </w:rPr>
        <w:t>。</w:t>
      </w:r>
    </w:p>
    <w:p w:rsidR="00D23886" w:rsidRDefault="007B2FA1">
      <w:pPr>
        <w:pStyle w:val="a0"/>
        <w:ind w:firstLineChars="200" w:firstLine="480"/>
        <w:rPr>
          <w:rFonts w:hAnsi="Times New Roman" w:cs="Times New Roman"/>
          <w:b/>
          <w:bCs/>
          <w:sz w:val="24"/>
        </w:rPr>
      </w:pPr>
      <w:r>
        <w:rPr>
          <w:rFonts w:hAnsi="Times New Roman" w:cs="Times New Roman" w:hint="eastAsia"/>
          <w:sz w:val="24"/>
        </w:rPr>
        <w:t>该项指标满分</w:t>
      </w:r>
      <w:r>
        <w:rPr>
          <w:rFonts w:hAnsi="Times New Roman" w:cs="Times New Roman" w:hint="eastAsia"/>
          <w:sz w:val="24"/>
        </w:rPr>
        <w:t>3</w:t>
      </w:r>
      <w:r>
        <w:rPr>
          <w:rFonts w:hAnsi="Times New Roman" w:cs="Times New Roman" w:hint="eastAsia"/>
          <w:sz w:val="24"/>
        </w:rPr>
        <w:t>分，根据评分标准得</w:t>
      </w:r>
      <w:r>
        <w:rPr>
          <w:rFonts w:hAnsi="Times New Roman" w:cs="Times New Roman" w:hint="eastAsia"/>
          <w:sz w:val="24"/>
        </w:rPr>
        <w:t>2.38</w:t>
      </w:r>
      <w:r>
        <w:rPr>
          <w:rFonts w:hAnsi="Times New Roman" w:cs="Times New Roman" w:hint="eastAsia"/>
          <w:sz w:val="24"/>
        </w:rPr>
        <w:t>分。</w:t>
      </w:r>
    </w:p>
    <w:p w:rsidR="00D23886" w:rsidRDefault="007B2FA1">
      <w:pPr>
        <w:pStyle w:val="a0"/>
        <w:ind w:firstLineChars="200" w:firstLine="482"/>
        <w:rPr>
          <w:rFonts w:hAnsi="Times New Roman" w:cs="Times New Roman"/>
          <w:b/>
          <w:bCs/>
          <w:sz w:val="24"/>
        </w:rPr>
      </w:pPr>
      <w:r>
        <w:rPr>
          <w:rFonts w:hAnsi="Times New Roman" w:cs="Times New Roman" w:hint="eastAsia"/>
          <w:b/>
          <w:bCs/>
          <w:sz w:val="24"/>
        </w:rPr>
        <w:t>C103</w:t>
      </w:r>
      <w:r>
        <w:rPr>
          <w:rFonts w:hAnsi="Times New Roman" w:cs="Times New Roman" w:hint="eastAsia"/>
          <w:b/>
          <w:bCs/>
          <w:sz w:val="24"/>
        </w:rPr>
        <w:t>运行费用配置率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该指标主要用以反映和考评部门（单位）站点运行费用实际落实情况。</w:t>
      </w:r>
    </w:p>
    <w:p w:rsidR="00D23886" w:rsidRDefault="007B2FA1">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年实际各中心实际运行费用和</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年预算申报运行费用测算运行费用配置率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运行费用配置率</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年各中心实际运行费用</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年预算运行费用</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分值</w:t>
      </w:r>
      <w:r>
        <w:rPr>
          <w:rFonts w:ascii="Times New Roman" w:eastAsia="宋体" w:hAnsi="Times New Roman" w:cs="Times New Roman" w:hint="eastAsia"/>
          <w:sz w:val="24"/>
          <w:szCs w:val="24"/>
        </w:rPr>
        <w:t>*100%</w:t>
      </w:r>
    </w:p>
    <w:p w:rsidR="00D23886" w:rsidRDefault="007B2FA1">
      <w:pPr>
        <w:pStyle w:val="a0"/>
        <w:spacing w:line="360" w:lineRule="auto"/>
        <w:ind w:firstLineChars="200" w:firstLine="480"/>
        <w:rPr>
          <w:rFonts w:hAnsi="Times New Roman" w:cs="Times New Roman"/>
          <w:sz w:val="24"/>
        </w:rPr>
      </w:pPr>
      <w:r>
        <w:rPr>
          <w:rFonts w:hAnsi="Times New Roman" w:cs="Times New Roman" w:hint="eastAsia"/>
          <w:sz w:val="24"/>
        </w:rPr>
        <w:t>该项目</w:t>
      </w:r>
      <w:r>
        <w:rPr>
          <w:rFonts w:hAnsi="Times New Roman" w:cs="Times New Roman" w:hint="eastAsia"/>
          <w:sz w:val="24"/>
        </w:rPr>
        <w:t>2021</w:t>
      </w:r>
      <w:r>
        <w:rPr>
          <w:rFonts w:hAnsi="Times New Roman" w:cs="Times New Roman" w:hint="eastAsia"/>
          <w:sz w:val="24"/>
        </w:rPr>
        <w:t>年底按照站点开放数量发放的运行费用共计</w:t>
      </w:r>
      <w:r>
        <w:rPr>
          <w:rFonts w:hAnsi="Times New Roman" w:cs="Times New Roman" w:hint="eastAsia"/>
          <w:sz w:val="24"/>
        </w:rPr>
        <w:t>187.59</w:t>
      </w:r>
      <w:r>
        <w:rPr>
          <w:rFonts w:hAnsi="Times New Roman" w:cs="Times New Roman" w:hint="eastAsia"/>
          <w:sz w:val="24"/>
        </w:rPr>
        <w:t>万元（卫健委</w:t>
      </w:r>
      <w:r>
        <w:rPr>
          <w:rFonts w:hAnsi="Times New Roman" w:cs="Times New Roman" w:hint="eastAsia"/>
          <w:sz w:val="24"/>
        </w:rPr>
        <w:t>2021</w:t>
      </w:r>
      <w:r>
        <w:rPr>
          <w:rFonts w:hAnsi="Times New Roman" w:cs="Times New Roman" w:hint="eastAsia"/>
          <w:sz w:val="24"/>
        </w:rPr>
        <w:t>明细账），</w:t>
      </w:r>
      <w:r>
        <w:rPr>
          <w:rFonts w:hAnsi="Times New Roman" w:cs="Times New Roman" w:hint="eastAsia"/>
          <w:sz w:val="24"/>
        </w:rPr>
        <w:t>2021</w:t>
      </w:r>
      <w:r>
        <w:rPr>
          <w:rFonts w:hAnsi="Times New Roman" w:cs="Times New Roman" w:hint="eastAsia"/>
          <w:sz w:val="24"/>
        </w:rPr>
        <w:t>年预算上报运行费用</w:t>
      </w:r>
      <w:r>
        <w:rPr>
          <w:rFonts w:hAnsi="Times New Roman" w:cs="Times New Roman" w:hint="eastAsia"/>
          <w:sz w:val="24"/>
        </w:rPr>
        <w:t>219</w:t>
      </w:r>
      <w:r>
        <w:rPr>
          <w:rFonts w:hAnsi="Times New Roman" w:cs="Times New Roman" w:hint="eastAsia"/>
          <w:sz w:val="24"/>
        </w:rPr>
        <w:t>万元（西青财请【</w:t>
      </w:r>
      <w:r>
        <w:rPr>
          <w:rFonts w:hAnsi="Times New Roman" w:cs="Times New Roman" w:hint="eastAsia"/>
          <w:sz w:val="24"/>
        </w:rPr>
        <w:t>2021</w:t>
      </w:r>
      <w:r>
        <w:rPr>
          <w:rFonts w:hAnsi="Times New Roman" w:cs="Times New Roman" w:hint="eastAsia"/>
          <w:sz w:val="24"/>
        </w:rPr>
        <w:t>】</w:t>
      </w:r>
      <w:r>
        <w:rPr>
          <w:rFonts w:hAnsi="Times New Roman" w:cs="Times New Roman" w:hint="eastAsia"/>
          <w:sz w:val="24"/>
        </w:rPr>
        <w:t>88</w:t>
      </w:r>
      <w:r>
        <w:rPr>
          <w:rFonts w:hAnsi="Times New Roman" w:cs="Times New Roman" w:hint="eastAsia"/>
          <w:sz w:val="24"/>
        </w:rPr>
        <w:t>号），该项目得分为</w:t>
      </w:r>
      <w:r>
        <w:rPr>
          <w:rFonts w:hAnsi="Times New Roman" w:cs="Times New Roman" w:hint="eastAsia"/>
          <w:sz w:val="24"/>
        </w:rPr>
        <w:t>187.59/219*3*100%=2.61</w:t>
      </w:r>
      <w:r>
        <w:rPr>
          <w:rFonts w:hAnsi="Times New Roman" w:cs="Times New Roman" w:hint="eastAsia"/>
          <w:sz w:val="24"/>
        </w:rPr>
        <w:t>。</w:t>
      </w:r>
    </w:p>
    <w:p w:rsidR="00D23886" w:rsidRDefault="007B2FA1">
      <w:pPr>
        <w:spacing w:line="360" w:lineRule="auto"/>
        <w:ind w:firstLineChars="200" w:firstLine="480"/>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2.61</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3.2</w:t>
      </w:r>
      <w:r>
        <w:rPr>
          <w:rFonts w:ascii="Times New Roman" w:eastAsia="宋体" w:hAnsi="Times New Roman" w:cs="Times New Roman" w:hint="eastAsia"/>
          <w:b/>
          <w:bCs/>
          <w:sz w:val="24"/>
          <w:szCs w:val="24"/>
        </w:rPr>
        <w:t>产出时效</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C201</w:t>
      </w:r>
      <w:r>
        <w:rPr>
          <w:rFonts w:ascii="Times New Roman" w:eastAsia="宋体" w:hAnsi="Times New Roman" w:cs="Times New Roman" w:hint="eastAsia"/>
          <w:b/>
          <w:bCs/>
          <w:sz w:val="24"/>
          <w:szCs w:val="24"/>
        </w:rPr>
        <w:t>站点完成率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w:t>
      </w:r>
      <w:r>
        <w:rPr>
          <w:rFonts w:ascii="Times New Roman" w:eastAsia="宋体" w:hAnsi="Times New Roman" w:cs="Times New Roman" w:hint="eastAsia"/>
          <w:sz w:val="24"/>
          <w:szCs w:val="24"/>
        </w:rPr>
        <w:t>用以反映和考评实际站点开放情况。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年实际运行站点数量和总规划站点数量测算站点完成率</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站点完成率</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实际运行站点数量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总规划站点数量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分值</w:t>
      </w:r>
      <w:r>
        <w:rPr>
          <w:rFonts w:ascii="Times New Roman" w:eastAsia="宋体" w:hAnsi="Times New Roman" w:cs="Times New Roman" w:hint="eastAsia"/>
          <w:sz w:val="24"/>
          <w:szCs w:val="24"/>
        </w:rPr>
        <w:t>*100%</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该项目在</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年度加权平均站点实际开放数</w:t>
      </w:r>
      <w:r>
        <w:rPr>
          <w:rFonts w:ascii="Times New Roman" w:eastAsia="宋体" w:hAnsi="Times New Roman" w:cs="Times New Roman" w:hint="eastAsia"/>
          <w:sz w:val="24"/>
          <w:szCs w:val="24"/>
        </w:rPr>
        <w:t>54.25</w:t>
      </w:r>
      <w:r>
        <w:rPr>
          <w:rFonts w:ascii="Times New Roman" w:eastAsia="宋体" w:hAnsi="Times New Roman" w:cs="Times New Roman" w:hint="eastAsia"/>
          <w:sz w:val="24"/>
          <w:szCs w:val="24"/>
        </w:rPr>
        <w:t>个（根据各中心上报</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年度实际站点开放月数加权统计），根据筑底项目总规划站点数量</w:t>
      </w:r>
      <w:r>
        <w:rPr>
          <w:rFonts w:ascii="Times New Roman" w:eastAsia="宋体" w:hAnsi="Times New Roman" w:cs="Times New Roman" w:hint="eastAsia"/>
          <w:sz w:val="24"/>
          <w:szCs w:val="24"/>
        </w:rPr>
        <w:t>110</w:t>
      </w:r>
      <w:r>
        <w:rPr>
          <w:rFonts w:ascii="Times New Roman" w:eastAsia="宋体" w:hAnsi="Times New Roman" w:cs="Times New Roman" w:hint="eastAsia"/>
          <w:sz w:val="24"/>
          <w:szCs w:val="24"/>
        </w:rPr>
        <w:t>个（西青政办发【</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号），该项目得分为</w:t>
      </w:r>
      <w:r>
        <w:rPr>
          <w:rFonts w:ascii="Times New Roman" w:eastAsia="宋体" w:hAnsi="Times New Roman" w:cs="Times New Roman" w:hint="eastAsia"/>
          <w:sz w:val="24"/>
          <w:szCs w:val="24"/>
        </w:rPr>
        <w:t>54.25/110*3*100%=1.48</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1.48</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C202</w:t>
      </w:r>
      <w:r>
        <w:rPr>
          <w:rFonts w:ascii="Times New Roman" w:eastAsia="宋体" w:hAnsi="Times New Roman" w:cs="Times New Roman" w:hint="eastAsia"/>
          <w:b/>
          <w:bCs/>
          <w:sz w:val="24"/>
          <w:szCs w:val="24"/>
        </w:rPr>
        <w:t>站点人员完成率</w:t>
      </w:r>
    </w:p>
    <w:p w:rsidR="00D23886" w:rsidRDefault="007B2FA1">
      <w:pPr>
        <w:snapToGrid w:val="0"/>
        <w:spacing w:line="360" w:lineRule="auto"/>
        <w:ind w:firstLineChars="200" w:firstLine="480"/>
        <w:rPr>
          <w:rFonts w:ascii="Times New Roman" w:eastAsia="宋体" w:hAnsi="Times New Roman" w:cs="Times New Roman"/>
          <w:iCs/>
          <w:sz w:val="24"/>
          <w:szCs w:val="24"/>
        </w:rPr>
      </w:pPr>
      <w:r>
        <w:rPr>
          <w:rFonts w:ascii="Times New Roman" w:eastAsia="宋体" w:hAnsi="Times New Roman" w:cs="Times New Roman"/>
          <w:sz w:val="24"/>
          <w:szCs w:val="24"/>
        </w:rPr>
        <w:t>该指标主要</w:t>
      </w:r>
      <w:r>
        <w:rPr>
          <w:rFonts w:ascii="Times New Roman" w:eastAsia="宋体" w:hAnsi="Times New Roman" w:cs="Times New Roman" w:hint="eastAsia"/>
          <w:sz w:val="24"/>
          <w:szCs w:val="24"/>
        </w:rPr>
        <w:t>用以反映和考评站点实际人员配备完成情况。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年实际各中心实际人员数量和</w:t>
      </w:r>
      <w:r>
        <w:rPr>
          <w:rFonts w:hAnsi="Times New Roman" w:cs="Times New Roman" w:hint="eastAsia"/>
          <w:sz w:val="24"/>
          <w:szCs w:val="24"/>
        </w:rPr>
        <w:t>总规</w:t>
      </w:r>
      <w:r>
        <w:rPr>
          <w:rFonts w:ascii="Times New Roman" w:eastAsia="宋体" w:hAnsi="Times New Roman" w:cs="Times New Roman" w:hint="eastAsia"/>
          <w:sz w:val="24"/>
          <w:szCs w:val="24"/>
        </w:rPr>
        <w:t>划站点人员数量人员数量测算站点人员完成率</w:t>
      </w:r>
    </w:p>
    <w:p w:rsidR="00D23886" w:rsidRDefault="007B2FA1">
      <w:pPr>
        <w:pStyle w:val="a0"/>
      </w:pPr>
      <w:r>
        <w:rPr>
          <w:rFonts w:hAnsi="Times New Roman" w:cs="Times New Roman" w:hint="eastAsia"/>
          <w:sz w:val="24"/>
        </w:rPr>
        <w:t xml:space="preserve">    </w:t>
      </w:r>
      <w:r>
        <w:rPr>
          <w:rFonts w:hAnsi="Times New Roman" w:cs="Times New Roman" w:hint="eastAsia"/>
          <w:sz w:val="24"/>
        </w:rPr>
        <w:t>站点人员完成率</w:t>
      </w:r>
      <w:r>
        <w:rPr>
          <w:rFonts w:hAnsi="Times New Roman" w:cs="Times New Roman" w:hint="eastAsia"/>
          <w:sz w:val="24"/>
        </w:rPr>
        <w:t>=2021</w:t>
      </w:r>
      <w:r>
        <w:rPr>
          <w:rFonts w:hAnsi="Times New Roman" w:cs="Times New Roman" w:hint="eastAsia"/>
          <w:sz w:val="24"/>
        </w:rPr>
        <w:t>年各中心站点实际人员数量</w:t>
      </w:r>
      <w:r>
        <w:rPr>
          <w:rFonts w:hAnsi="Times New Roman" w:cs="Times New Roman" w:hint="eastAsia"/>
          <w:sz w:val="24"/>
        </w:rPr>
        <w:t>/</w:t>
      </w:r>
      <w:r>
        <w:rPr>
          <w:rFonts w:hAnsi="Times New Roman" w:cs="Times New Roman" w:hint="eastAsia"/>
          <w:sz w:val="24"/>
        </w:rPr>
        <w:t>总规划划人员数量</w:t>
      </w:r>
      <w:r>
        <w:rPr>
          <w:rFonts w:hAnsi="Times New Roman" w:cs="Times New Roman" w:hint="eastAsia"/>
          <w:sz w:val="24"/>
        </w:rPr>
        <w:t>*</w:t>
      </w:r>
      <w:r>
        <w:rPr>
          <w:rFonts w:hAnsi="Times New Roman" w:cs="Times New Roman" w:hint="eastAsia"/>
          <w:sz w:val="24"/>
        </w:rPr>
        <w:t>分值</w:t>
      </w:r>
      <w:r>
        <w:rPr>
          <w:rFonts w:hAnsi="Times New Roman" w:cs="Times New Roman" w:hint="eastAsia"/>
          <w:sz w:val="24"/>
        </w:rPr>
        <w:t>*100%</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年度各中心站点实际人员数量</w:t>
      </w:r>
      <w:r>
        <w:rPr>
          <w:rFonts w:ascii="Times New Roman" w:eastAsia="宋体" w:hAnsi="Times New Roman" w:cs="Times New Roman" w:hint="eastAsia"/>
          <w:sz w:val="24"/>
          <w:szCs w:val="24"/>
        </w:rPr>
        <w:t>253</w:t>
      </w:r>
      <w:r>
        <w:rPr>
          <w:rFonts w:ascii="Times New Roman" w:eastAsia="宋体" w:hAnsi="Times New Roman" w:cs="Times New Roman" w:hint="eastAsia"/>
          <w:sz w:val="24"/>
          <w:szCs w:val="24"/>
        </w:rPr>
        <w:t>人（西青区卫健委人事科汇总至财务科明细），筑底项目总规划站点人员数量</w:t>
      </w:r>
      <w:r>
        <w:rPr>
          <w:rFonts w:ascii="Times New Roman" w:eastAsia="宋体" w:hAnsi="Times New Roman" w:cs="Times New Roman" w:hint="eastAsia"/>
          <w:sz w:val="24"/>
          <w:szCs w:val="24"/>
        </w:rPr>
        <w:t>660</w:t>
      </w:r>
      <w:r>
        <w:rPr>
          <w:rFonts w:ascii="Times New Roman" w:eastAsia="宋体" w:hAnsi="Times New Roman" w:cs="Times New Roman" w:hint="eastAsia"/>
          <w:sz w:val="24"/>
          <w:szCs w:val="24"/>
        </w:rPr>
        <w:t>人（西青政办发【</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号），该项目得分为</w:t>
      </w:r>
      <w:r>
        <w:rPr>
          <w:rFonts w:ascii="Times New Roman" w:eastAsia="宋体" w:hAnsi="Times New Roman" w:cs="Times New Roman" w:hint="eastAsia"/>
          <w:sz w:val="24"/>
          <w:szCs w:val="24"/>
        </w:rPr>
        <w:t>253/660*3*100%=1.15</w:t>
      </w:r>
      <w:r>
        <w:rPr>
          <w:rFonts w:ascii="Times New Roman" w:eastAsia="宋体" w:hAnsi="Times New Roman" w:cs="Times New Roman" w:hint="eastAsia"/>
          <w:sz w:val="24"/>
          <w:szCs w:val="24"/>
        </w:rPr>
        <w:t>。</w:t>
      </w:r>
    </w:p>
    <w:p w:rsidR="00D23886" w:rsidRDefault="007B2FA1">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1.15</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C203</w:t>
      </w:r>
      <w:r>
        <w:rPr>
          <w:rFonts w:ascii="Times New Roman" w:eastAsia="宋体" w:hAnsi="Times New Roman" w:cs="Times New Roman" w:hint="eastAsia"/>
          <w:b/>
          <w:bCs/>
          <w:sz w:val="24"/>
          <w:szCs w:val="24"/>
        </w:rPr>
        <w:t>运行费用完成率</w:t>
      </w:r>
    </w:p>
    <w:p w:rsidR="00D23886" w:rsidRDefault="007B2FA1">
      <w:pPr>
        <w:snapToGrid w:val="0"/>
        <w:spacing w:line="360" w:lineRule="auto"/>
        <w:ind w:firstLineChars="200" w:firstLine="480"/>
        <w:rPr>
          <w:rFonts w:ascii="Times New Roman" w:eastAsia="宋体" w:hAnsi="Times New Roman" w:cs="Times New Roman"/>
          <w:iCs/>
          <w:sz w:val="24"/>
          <w:szCs w:val="24"/>
        </w:rPr>
      </w:pPr>
      <w:r>
        <w:rPr>
          <w:rFonts w:ascii="Times New Roman" w:eastAsia="宋体" w:hAnsi="Times New Roman" w:cs="Times New Roman"/>
          <w:sz w:val="24"/>
          <w:szCs w:val="24"/>
        </w:rPr>
        <w:t>该指标主要</w:t>
      </w:r>
      <w:r>
        <w:rPr>
          <w:rFonts w:ascii="Times New Roman" w:eastAsia="宋体" w:hAnsi="Times New Roman" w:cs="Times New Roman" w:hint="eastAsia"/>
          <w:sz w:val="24"/>
          <w:szCs w:val="24"/>
        </w:rPr>
        <w:t>用以反映和考评本年实际站点运行费用完成情况。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依据被考评单位</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年实际各中心实际运行费用和年度总规划运行费用测算运行费用完成率：</w:t>
      </w:r>
    </w:p>
    <w:p w:rsidR="00D23886" w:rsidRDefault="007B2FA1">
      <w:pPr>
        <w:pStyle w:val="a0"/>
      </w:pPr>
      <w:r>
        <w:rPr>
          <w:rFonts w:hAnsi="Times New Roman" w:cs="Times New Roman" w:hint="eastAsia"/>
          <w:sz w:val="24"/>
        </w:rPr>
        <w:t xml:space="preserve">   </w:t>
      </w:r>
      <w:r>
        <w:rPr>
          <w:rFonts w:hAnsi="Times New Roman" w:cs="Times New Roman" w:hint="eastAsia"/>
          <w:sz w:val="24"/>
        </w:rPr>
        <w:t>运行费用完成率</w:t>
      </w:r>
      <w:r>
        <w:rPr>
          <w:rFonts w:hAnsi="Times New Roman" w:cs="Times New Roman" w:hint="eastAsia"/>
          <w:sz w:val="24"/>
        </w:rPr>
        <w:t>=2021</w:t>
      </w:r>
      <w:r>
        <w:rPr>
          <w:rFonts w:hAnsi="Times New Roman" w:cs="Times New Roman" w:hint="eastAsia"/>
          <w:sz w:val="24"/>
        </w:rPr>
        <w:t>年各中心运行费用</w:t>
      </w:r>
      <w:r>
        <w:rPr>
          <w:rFonts w:hAnsi="Times New Roman" w:cs="Times New Roman" w:hint="eastAsia"/>
          <w:sz w:val="24"/>
        </w:rPr>
        <w:t>/</w:t>
      </w:r>
      <w:r>
        <w:rPr>
          <w:rFonts w:hAnsi="Times New Roman" w:cs="Times New Roman" w:hint="eastAsia"/>
          <w:sz w:val="24"/>
        </w:rPr>
        <w:t>年度总规划运行费用</w:t>
      </w:r>
      <w:r>
        <w:rPr>
          <w:rFonts w:hAnsi="Times New Roman" w:cs="Times New Roman" w:hint="eastAsia"/>
          <w:sz w:val="24"/>
        </w:rPr>
        <w:t>*</w:t>
      </w:r>
      <w:r>
        <w:rPr>
          <w:rFonts w:hAnsi="Times New Roman" w:cs="Times New Roman" w:hint="eastAsia"/>
          <w:sz w:val="24"/>
        </w:rPr>
        <w:t>分值</w:t>
      </w:r>
      <w:r>
        <w:rPr>
          <w:rFonts w:hAnsi="Times New Roman" w:cs="Times New Roman" w:hint="eastAsia"/>
          <w:sz w:val="24"/>
        </w:rPr>
        <w:t>*100%</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年底按照站点开放数量发放的运行费用共计</w:t>
      </w:r>
      <w:r>
        <w:rPr>
          <w:rFonts w:ascii="Times New Roman" w:eastAsia="宋体" w:hAnsi="Times New Roman" w:cs="Times New Roman" w:hint="eastAsia"/>
          <w:sz w:val="24"/>
          <w:szCs w:val="24"/>
        </w:rPr>
        <w:t>187.59</w:t>
      </w:r>
      <w:r>
        <w:rPr>
          <w:rFonts w:ascii="Times New Roman" w:eastAsia="宋体" w:hAnsi="Times New Roman" w:cs="Times New Roman" w:hint="eastAsia"/>
          <w:sz w:val="24"/>
          <w:szCs w:val="24"/>
        </w:rPr>
        <w:t>万元（卫健委</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明细账），筑底项目年度总规划运行费用</w:t>
      </w:r>
      <w:r>
        <w:rPr>
          <w:rFonts w:ascii="Times New Roman" w:eastAsia="宋体" w:hAnsi="Times New Roman" w:cs="Times New Roman" w:hint="eastAsia"/>
          <w:sz w:val="24"/>
          <w:szCs w:val="24"/>
        </w:rPr>
        <w:t>330</w:t>
      </w:r>
      <w:r>
        <w:rPr>
          <w:rFonts w:ascii="Times New Roman" w:eastAsia="宋体" w:hAnsi="Times New Roman" w:cs="Times New Roman" w:hint="eastAsia"/>
          <w:sz w:val="24"/>
          <w:szCs w:val="24"/>
        </w:rPr>
        <w:t>万元（西青政办发【</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号），该项目得分为</w:t>
      </w:r>
      <w:r>
        <w:rPr>
          <w:rFonts w:ascii="Times New Roman" w:eastAsia="宋体" w:hAnsi="Times New Roman" w:cs="Times New Roman" w:hint="eastAsia"/>
          <w:sz w:val="24"/>
          <w:szCs w:val="24"/>
        </w:rPr>
        <w:t>187.59/330*3*100%=1.71</w:t>
      </w:r>
      <w:r>
        <w:rPr>
          <w:rFonts w:ascii="Times New Roman" w:eastAsia="宋体" w:hAnsi="Times New Roman" w:cs="Times New Roman" w:hint="eastAsia"/>
          <w:sz w:val="24"/>
          <w:szCs w:val="24"/>
        </w:rPr>
        <w:t>。</w:t>
      </w:r>
    </w:p>
    <w:p w:rsidR="00D23886" w:rsidRDefault="007B2FA1">
      <w:pPr>
        <w:pStyle w:val="a0"/>
        <w:ind w:firstLineChars="200" w:firstLine="480"/>
      </w:pPr>
      <w:r>
        <w:rPr>
          <w:rFonts w:hAnsi="Times New Roman" w:cs="Times New Roman" w:hint="eastAsia"/>
          <w:sz w:val="24"/>
        </w:rPr>
        <w:t>该项指标满分</w:t>
      </w:r>
      <w:r>
        <w:rPr>
          <w:rFonts w:hAnsi="Times New Roman" w:cs="Times New Roman" w:hint="eastAsia"/>
          <w:sz w:val="24"/>
        </w:rPr>
        <w:t>3</w:t>
      </w:r>
      <w:r>
        <w:rPr>
          <w:rFonts w:hAnsi="Times New Roman" w:cs="Times New Roman" w:hint="eastAsia"/>
          <w:sz w:val="24"/>
        </w:rPr>
        <w:t>分，根据评分标准得</w:t>
      </w:r>
      <w:r>
        <w:rPr>
          <w:rFonts w:hAnsi="Times New Roman" w:cs="Times New Roman" w:hint="eastAsia"/>
          <w:sz w:val="24"/>
        </w:rPr>
        <w:t>1.71</w:t>
      </w:r>
      <w:r>
        <w:rPr>
          <w:rFonts w:hAnsi="Times New Roman" w:cs="Times New Roman" w:hint="eastAsia"/>
          <w:sz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项目绩效指标得分</w:t>
      </w:r>
      <w:r>
        <w:rPr>
          <w:rFonts w:ascii="Times New Roman" w:eastAsia="宋体" w:hAnsi="Times New Roman" w:cs="Times New Roman" w:hint="eastAsia"/>
          <w:b/>
          <w:bCs/>
          <w:sz w:val="24"/>
          <w:szCs w:val="24"/>
        </w:rPr>
        <w:t>11.59</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项目产出</w:t>
      </w:r>
      <w:r>
        <w:rPr>
          <w:rFonts w:ascii="Times New Roman" w:eastAsia="宋体" w:hAnsi="Times New Roman" w:cs="Times New Roman" w:hint="eastAsia"/>
          <w:b/>
          <w:bCs/>
          <w:sz w:val="24"/>
          <w:szCs w:val="24"/>
        </w:rPr>
        <w:t>质量</w:t>
      </w:r>
      <w:r>
        <w:rPr>
          <w:rFonts w:ascii="Times New Roman" w:eastAsia="宋体" w:hAnsi="Times New Roman" w:cs="Times New Roman"/>
          <w:b/>
          <w:bCs/>
          <w:sz w:val="24"/>
          <w:szCs w:val="24"/>
        </w:rPr>
        <w:t>指标得</w:t>
      </w:r>
      <w:r>
        <w:rPr>
          <w:rFonts w:ascii="Times New Roman" w:eastAsia="宋体" w:hAnsi="Times New Roman" w:cs="Times New Roman" w:hint="eastAsia"/>
          <w:b/>
          <w:bCs/>
          <w:sz w:val="24"/>
          <w:szCs w:val="24"/>
        </w:rPr>
        <w:t>7.25</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产出</w:t>
      </w:r>
      <w:r>
        <w:rPr>
          <w:rFonts w:ascii="Times New Roman" w:eastAsia="宋体" w:hAnsi="Times New Roman" w:cs="Times New Roman" w:hint="eastAsia"/>
          <w:b/>
          <w:bCs/>
          <w:sz w:val="24"/>
          <w:szCs w:val="24"/>
        </w:rPr>
        <w:t>时效</w:t>
      </w:r>
      <w:r>
        <w:rPr>
          <w:rFonts w:ascii="Times New Roman" w:eastAsia="宋体" w:hAnsi="Times New Roman" w:cs="Times New Roman"/>
          <w:b/>
          <w:bCs/>
          <w:sz w:val="24"/>
          <w:szCs w:val="24"/>
        </w:rPr>
        <w:t>指标得</w:t>
      </w:r>
      <w:r>
        <w:rPr>
          <w:rFonts w:ascii="Times New Roman" w:eastAsia="宋体" w:hAnsi="Times New Roman" w:cs="Times New Roman" w:hint="eastAsia"/>
          <w:b/>
          <w:bCs/>
          <w:sz w:val="24"/>
          <w:szCs w:val="24"/>
        </w:rPr>
        <w:t>4.34</w:t>
      </w:r>
      <w:r>
        <w:rPr>
          <w:rFonts w:ascii="Times New Roman" w:eastAsia="宋体" w:hAnsi="Times New Roman" w:cs="Times New Roman"/>
          <w:b/>
          <w:bCs/>
          <w:sz w:val="24"/>
          <w:szCs w:val="24"/>
        </w:rPr>
        <w:t>分。</w:t>
      </w:r>
    </w:p>
    <w:p w:rsidR="00D23886" w:rsidRDefault="007B2FA1">
      <w:pPr>
        <w:pStyle w:val="3"/>
        <w:ind w:leftChars="0" w:left="0" w:firstLineChars="200" w:firstLine="482"/>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成果</w:t>
      </w: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项目绩效类指标由</w:t>
      </w:r>
      <w:r>
        <w:rPr>
          <w:rFonts w:ascii="Times New Roman" w:eastAsia="宋体" w:hAnsi="Times New Roman" w:cs="Times New Roman"/>
          <w:sz w:val="24"/>
          <w:szCs w:val="24"/>
        </w:rPr>
        <w:t>2</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Pr>
          <w:rFonts w:ascii="Times New Roman" w:eastAsia="宋体" w:hAnsi="Times New Roman" w:cs="Times New Roman" w:hint="eastAsia"/>
          <w:sz w:val="24"/>
          <w:szCs w:val="24"/>
        </w:rPr>
        <w:t>8</w:t>
      </w:r>
      <w:r>
        <w:rPr>
          <w:rFonts w:ascii="Times New Roman" w:eastAsia="宋体" w:hAnsi="Times New Roman" w:cs="Times New Roman"/>
          <w:sz w:val="24"/>
          <w:szCs w:val="24"/>
        </w:rPr>
        <w:t>个三级指标构成，权重</w:t>
      </w:r>
      <w:r>
        <w:rPr>
          <w:rFonts w:ascii="Times New Roman" w:eastAsia="宋体" w:hAnsi="Times New Roman" w:cs="Times New Roman" w:hint="eastAsia"/>
          <w:sz w:val="24"/>
          <w:szCs w:val="24"/>
        </w:rPr>
        <w:t>22</w:t>
      </w:r>
      <w:r>
        <w:rPr>
          <w:rFonts w:ascii="Times New Roman" w:eastAsia="宋体" w:hAnsi="Times New Roman" w:cs="Times New Roman"/>
          <w:sz w:val="24"/>
          <w:szCs w:val="24"/>
        </w:rPr>
        <w:t>分，实际得分</w:t>
      </w:r>
      <w:r>
        <w:rPr>
          <w:rFonts w:ascii="Times New Roman" w:eastAsia="宋体" w:hAnsi="Times New Roman" w:cs="Times New Roman" w:hint="eastAsia"/>
          <w:sz w:val="24"/>
          <w:szCs w:val="24"/>
        </w:rPr>
        <w:t>14</w:t>
      </w:r>
      <w:r>
        <w:rPr>
          <w:rFonts w:ascii="Times New Roman" w:eastAsia="宋体" w:hAnsi="Times New Roman" w:cs="Times New Roman"/>
          <w:sz w:val="24"/>
          <w:szCs w:val="24"/>
        </w:rPr>
        <w:t>分，各指标业绩值和绩效分值如表</w:t>
      </w:r>
      <w:r>
        <w:rPr>
          <w:rFonts w:ascii="Times New Roman" w:eastAsia="宋体" w:hAnsi="Times New Roman" w:cs="Times New Roman"/>
          <w:sz w:val="24"/>
          <w:szCs w:val="24"/>
        </w:rPr>
        <w:t>5</w:t>
      </w:r>
      <w:r>
        <w:rPr>
          <w:rFonts w:ascii="Times New Roman" w:eastAsia="宋体" w:hAnsi="Times New Roman" w:cs="Times New Roman"/>
          <w:sz w:val="24"/>
          <w:szCs w:val="24"/>
        </w:rPr>
        <w:t>所示：</w:t>
      </w:r>
    </w:p>
    <w:p w:rsidR="00D23886" w:rsidRDefault="007B2FA1">
      <w:pPr>
        <w:snapToGrid w:val="0"/>
        <w:spacing w:line="360" w:lineRule="auto"/>
        <w:ind w:firstLineChars="300" w:firstLine="723"/>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6.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效益</w:t>
      </w:r>
      <w:r>
        <w:rPr>
          <w:rFonts w:ascii="Times New Roman" w:eastAsia="宋体" w:hAnsi="Times New Roman" w:cs="Times New Roman"/>
          <w:b/>
          <w:bCs/>
          <w:sz w:val="24"/>
          <w:szCs w:val="24"/>
        </w:rPr>
        <w:t>类指标评分表</w:t>
      </w:r>
    </w:p>
    <w:tbl>
      <w:tblPr>
        <w:tblW w:w="4998" w:type="pct"/>
        <w:tblLook w:val="04A0"/>
      </w:tblPr>
      <w:tblGrid>
        <w:gridCol w:w="616"/>
        <w:gridCol w:w="616"/>
        <w:gridCol w:w="457"/>
        <w:gridCol w:w="1817"/>
        <w:gridCol w:w="984"/>
        <w:gridCol w:w="516"/>
        <w:gridCol w:w="3513"/>
      </w:tblGrid>
      <w:tr w:rsidR="00D23886">
        <w:trPr>
          <w:trHeight w:val="570"/>
        </w:trPr>
        <w:tc>
          <w:tcPr>
            <w:tcW w:w="234" w:type="pct"/>
            <w:tcBorders>
              <w:top w:val="single" w:sz="8" w:space="0" w:color="000000"/>
              <w:left w:val="single" w:sz="8"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二级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92"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kern w:val="0"/>
                <w:sz w:val="24"/>
                <w:szCs w:val="24"/>
                <w:lang/>
              </w:rPr>
            </w:pPr>
            <w:r>
              <w:rPr>
                <w:rFonts w:ascii="宋体" w:eastAsia="宋体" w:hAnsi="宋体" w:cs="宋体" w:hint="eastAsia"/>
                <w:b/>
                <w:bCs/>
                <w:color w:val="000000"/>
                <w:kern w:val="0"/>
                <w:sz w:val="24"/>
                <w:szCs w:val="24"/>
                <w:lang/>
              </w:rPr>
              <w:t>三级</w:t>
            </w:r>
          </w:p>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w:t>
            </w:r>
          </w:p>
        </w:tc>
        <w:tc>
          <w:tcPr>
            <w:tcW w:w="235"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分值</w:t>
            </w:r>
          </w:p>
        </w:tc>
        <w:tc>
          <w:tcPr>
            <w:tcW w:w="1165"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指标解释</w:t>
            </w:r>
          </w:p>
        </w:tc>
        <w:tc>
          <w:tcPr>
            <w:tcW w:w="676"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评分标准</w:t>
            </w:r>
          </w:p>
        </w:tc>
        <w:tc>
          <w:tcPr>
            <w:tcW w:w="235" w:type="pct"/>
            <w:tcBorders>
              <w:top w:val="single" w:sz="8" w:space="0" w:color="000000"/>
              <w:left w:val="single" w:sz="4" w:space="0" w:color="000000"/>
              <w:bottom w:val="single" w:sz="4" w:space="0" w:color="000000"/>
              <w:right w:val="single" w:sz="4"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得分</w:t>
            </w:r>
          </w:p>
        </w:tc>
        <w:tc>
          <w:tcPr>
            <w:tcW w:w="2159" w:type="pct"/>
            <w:tcBorders>
              <w:top w:val="single" w:sz="8" w:space="0" w:color="000000"/>
              <w:left w:val="single" w:sz="4" w:space="0" w:color="000000"/>
              <w:bottom w:val="single" w:sz="4" w:space="0" w:color="000000"/>
              <w:right w:val="single" w:sz="8" w:space="0" w:color="000000"/>
            </w:tcBorders>
            <w:shd w:val="clear" w:color="auto" w:fill="B4C6E7"/>
            <w:vAlign w:val="center"/>
          </w:tcPr>
          <w:p w:rsidR="00D23886" w:rsidRDefault="007B2FA1">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rPr>
              <w:t>评分依据</w:t>
            </w:r>
          </w:p>
        </w:tc>
      </w:tr>
      <w:tr w:rsidR="00D23886">
        <w:trPr>
          <w:trHeight w:val="600"/>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D1社会效益（4分）</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D101可靠性</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该项目是否保证了西青社区居民有安全、可靠的就医环境；</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该项分值2分。依据实际情况评分。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抽查，已经开放的站点条件可以保证居民有安全、可靠的就医环境，目前全区2021年开放站点数量为54.25个，根据西青区第七次人口普查，人口数量119.51万人，根据《西青政办发【2017】57号》，0.8-1万人口建立一个服务站，目前服务站开放数量不足规划数量的一半，扣1分。</w:t>
            </w:r>
          </w:p>
        </w:tc>
      </w:tr>
      <w:tr w:rsidR="00D23886">
        <w:trPr>
          <w:trHeight w:val="60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D102有效性</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5" w:type="pct"/>
            <w:tcBorders>
              <w:top w:val="nil"/>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该项目是否可以保证社区居民能够有效的了解社区具备该医疗条件保证居民就医。</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该项分值2分。依据实际情况评分。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0.5</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截至目前，关于社区服务站的宣传力度不够，并未进行专项宣传工作保证社区居民能够有效知悉服务站对于居民就医可以提供哪些社会性保证，站点知悉程度仅为部分乡医在村镇口口相传的知悉度，本项扣1.5分。</w:t>
            </w:r>
          </w:p>
        </w:tc>
      </w:tr>
      <w:tr w:rsidR="00D23886">
        <w:trPr>
          <w:trHeight w:val="720"/>
        </w:trPr>
        <w:tc>
          <w:tcPr>
            <w:tcW w:w="234" w:type="pct"/>
            <w:vMerge w:val="restart"/>
            <w:tcBorders>
              <w:top w:val="nil"/>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D2经济效益（4分）</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D201便捷性</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D23886">
            <w:pPr>
              <w:widowControl/>
              <w:jc w:val="left"/>
              <w:textAlignment w:val="center"/>
              <w:rPr>
                <w:rFonts w:ascii="宋体" w:eastAsia="宋体" w:hAnsi="宋体" w:cs="宋体"/>
                <w:color w:val="000000"/>
                <w:kern w:val="0"/>
                <w:sz w:val="20"/>
                <w:szCs w:val="20"/>
                <w:lang/>
              </w:rPr>
            </w:pPr>
          </w:p>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该项目是否可以全面保证西青各个社区居民的便捷就医；</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该项分值2分。依据实际情况评分。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检查，2021年度，站点开放数量为54.25个，根据西青区第七次人口普查，人口数量119.51万人，根据《西青政办发【2017】57号》，0.8-1万人口建立一个服务站，目前服务站开放数量不足规划数量的一半，无法全面保证居民就医的便捷性，扣1分。</w:t>
            </w:r>
          </w:p>
        </w:tc>
      </w:tr>
      <w:tr w:rsidR="00D23886">
        <w:trPr>
          <w:trHeight w:val="600"/>
        </w:trPr>
        <w:tc>
          <w:tcPr>
            <w:tcW w:w="234" w:type="pct"/>
            <w:vMerge/>
            <w:tcBorders>
              <w:top w:val="nil"/>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D202廉价性</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该项目是否可以保证社区居民能够有效享受到医保就医的廉价性。</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该项分值2分。依据实际情况评分。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目前站点已经全部联网，通过全市统一系统，站点医生只负责根据病人情况在统一系统中开药，所有价格为系统统一定价，保证了居民就医的平价性。</w:t>
            </w:r>
          </w:p>
        </w:tc>
      </w:tr>
      <w:tr w:rsidR="00D23886">
        <w:trPr>
          <w:trHeight w:val="480"/>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D3可持续效益（4分）</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D301就业影响</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5" w:type="pct"/>
            <w:tcBorders>
              <w:top w:val="single" w:sz="4" w:space="0" w:color="000000"/>
              <w:left w:val="single" w:sz="4" w:space="0" w:color="000000"/>
              <w:bottom w:val="nil"/>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项目实施是否带动医疗体系内外就业，稳定人民生活水平；</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该项分值2分。依据实际情况评分。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0.5</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截至2021年底，实际招聘站点人员253人，目前站点配备的人员远远达不到规划预期；同时，由于目前站点的宣传力度不够，站点对于其他社区健康行业人员就业的影响力尚未建立，扣1.5分；</w:t>
            </w:r>
          </w:p>
        </w:tc>
      </w:tr>
      <w:tr w:rsidR="00D23886">
        <w:trPr>
          <w:trHeight w:val="60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D302社区经济影响</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项目实施是否对带动社区经济健康发展起到可持续影响力</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该项分值2分。依据实际情况评分。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159" w:type="pct"/>
            <w:tcBorders>
              <w:top w:val="nil"/>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对于社区经济健康发展的影响力，随着站点的开放逐步建立，目前尚未有显著的带动效益，扣1分。</w:t>
            </w:r>
          </w:p>
        </w:tc>
      </w:tr>
      <w:tr w:rsidR="00D23886">
        <w:trPr>
          <w:trHeight w:val="600"/>
        </w:trPr>
        <w:tc>
          <w:tcPr>
            <w:tcW w:w="234"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D4满意度        （10分）</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D401站点满意度</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反映各站点2021年度收到对站点投诉的数量。</w:t>
            </w:r>
          </w:p>
        </w:tc>
        <w:tc>
          <w:tcPr>
            <w:tcW w:w="6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每投诉1次扣0.2分，25次及以上不得分，依据实际情况打分。</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2159" w:type="pct"/>
            <w:tcBorders>
              <w:top w:val="single" w:sz="4" w:space="0" w:color="000000"/>
              <w:left w:val="single" w:sz="4" w:space="0" w:color="000000"/>
              <w:bottom w:val="single" w:sz="4"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2021年度汇总站点投诉数量为10次，本项目得3分。</w:t>
            </w:r>
          </w:p>
        </w:tc>
      </w:tr>
      <w:tr w:rsidR="00D23886">
        <w:trPr>
          <w:trHeight w:val="600"/>
        </w:trPr>
        <w:tc>
          <w:tcPr>
            <w:tcW w:w="234" w:type="pct"/>
            <w:vMerge/>
            <w:tcBorders>
              <w:top w:val="single" w:sz="4" w:space="0" w:color="000000"/>
              <w:left w:val="single" w:sz="8" w:space="0" w:color="000000"/>
              <w:bottom w:val="single" w:sz="4" w:space="0" w:color="000000"/>
              <w:right w:val="single" w:sz="4" w:space="0" w:color="000000"/>
            </w:tcBorders>
            <w:shd w:val="clear" w:color="auto" w:fill="auto"/>
            <w:vAlign w:val="center"/>
          </w:tcPr>
          <w:p w:rsidR="00D23886" w:rsidRDefault="00D23886">
            <w:pPr>
              <w:jc w:val="center"/>
              <w:rPr>
                <w:rFonts w:ascii="宋体" w:eastAsia="宋体" w:hAnsi="宋体" w:cs="宋体"/>
                <w:color w:val="000000"/>
                <w:sz w:val="20"/>
                <w:szCs w:val="20"/>
              </w:rPr>
            </w:pPr>
          </w:p>
        </w:tc>
        <w:tc>
          <w:tcPr>
            <w:tcW w:w="292"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D402医务人员满意度</w:t>
            </w:r>
          </w:p>
        </w:tc>
        <w:tc>
          <w:tcPr>
            <w:tcW w:w="235"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165"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反映各中心2021年度收到对站点人员投诉的数量。</w:t>
            </w:r>
          </w:p>
        </w:tc>
        <w:tc>
          <w:tcPr>
            <w:tcW w:w="676"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每投诉1次扣0.2分，25次及以上不得分，依据实际情况打分。</w:t>
            </w:r>
          </w:p>
        </w:tc>
        <w:tc>
          <w:tcPr>
            <w:tcW w:w="235" w:type="pct"/>
            <w:tcBorders>
              <w:top w:val="single" w:sz="4" w:space="0" w:color="000000"/>
              <w:left w:val="single" w:sz="4" w:space="0" w:color="000000"/>
              <w:bottom w:val="single" w:sz="8" w:space="0" w:color="000000"/>
              <w:right w:val="single" w:sz="4" w:space="0" w:color="000000"/>
            </w:tcBorders>
            <w:shd w:val="clear" w:color="auto" w:fill="auto"/>
            <w:vAlign w:val="center"/>
          </w:tcPr>
          <w:p w:rsidR="00D23886" w:rsidRDefault="007B2FA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2159" w:type="pct"/>
            <w:tcBorders>
              <w:top w:val="single" w:sz="4" w:space="0" w:color="000000"/>
              <w:left w:val="single" w:sz="4" w:space="0" w:color="000000"/>
              <w:bottom w:val="single" w:sz="8" w:space="0" w:color="000000"/>
              <w:right w:val="single" w:sz="8" w:space="0" w:color="000000"/>
            </w:tcBorders>
            <w:shd w:val="clear" w:color="auto" w:fill="auto"/>
            <w:vAlign w:val="center"/>
          </w:tcPr>
          <w:p w:rsidR="00D23886" w:rsidRDefault="007B2FA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2021年筑底项目汇总的对于医务人员的投诉数量为0。</w:t>
            </w:r>
          </w:p>
        </w:tc>
      </w:tr>
    </w:tbl>
    <w:p w:rsidR="00D23886" w:rsidRDefault="00D23886">
      <w:pPr>
        <w:snapToGrid w:val="0"/>
        <w:spacing w:line="360" w:lineRule="auto"/>
        <w:ind w:firstLineChars="200" w:firstLine="482"/>
        <w:rPr>
          <w:rFonts w:ascii="Times New Roman" w:eastAsia="宋体" w:hAnsi="Times New Roman" w:cs="Times New Roman"/>
          <w:b/>
          <w:bCs/>
          <w:sz w:val="24"/>
          <w:szCs w:val="24"/>
        </w:rPr>
      </w:pP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4.1</w:t>
      </w:r>
      <w:r>
        <w:rPr>
          <w:rFonts w:ascii="Times New Roman" w:eastAsia="宋体" w:hAnsi="Times New Roman" w:cs="Times New Roman" w:hint="eastAsia"/>
          <w:b/>
          <w:bCs/>
          <w:sz w:val="24"/>
          <w:szCs w:val="24"/>
        </w:rPr>
        <w:t>社会效益</w:t>
      </w:r>
    </w:p>
    <w:p w:rsidR="00D23886" w:rsidRDefault="007B2FA1">
      <w:pPr>
        <w:pStyle w:val="a0"/>
        <w:ind w:firstLineChars="200" w:firstLine="482"/>
        <w:rPr>
          <w:rFonts w:hAnsi="Times New Roman" w:cs="Times New Roman"/>
          <w:b/>
          <w:bCs/>
          <w:sz w:val="24"/>
        </w:rPr>
      </w:pPr>
      <w:r>
        <w:rPr>
          <w:rFonts w:hAnsi="Times New Roman" w:cs="Times New Roman" w:hint="eastAsia"/>
          <w:b/>
          <w:bCs/>
          <w:sz w:val="24"/>
        </w:rPr>
        <w:t>D101</w:t>
      </w:r>
      <w:r>
        <w:rPr>
          <w:rFonts w:hAnsi="Times New Roman" w:cs="Times New Roman" w:hint="eastAsia"/>
          <w:b/>
          <w:bCs/>
          <w:sz w:val="24"/>
        </w:rPr>
        <w:t>可靠性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该项目是否保证了西青社区居民有安全、可靠的就医环境。</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经抽查，已经开放的站点条件可以保证居民有安全、可靠的就医环境，目前全区</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年开放站点数量为</w:t>
      </w:r>
      <w:r>
        <w:rPr>
          <w:rFonts w:ascii="Times New Roman" w:eastAsia="宋体" w:hAnsi="Times New Roman" w:cs="Times New Roman" w:hint="eastAsia"/>
          <w:sz w:val="24"/>
          <w:szCs w:val="24"/>
        </w:rPr>
        <w:t>54.25</w:t>
      </w:r>
      <w:r>
        <w:rPr>
          <w:rFonts w:ascii="Times New Roman" w:eastAsia="宋体" w:hAnsi="Times New Roman" w:cs="Times New Roman" w:hint="eastAsia"/>
          <w:sz w:val="24"/>
          <w:szCs w:val="24"/>
        </w:rPr>
        <w:t>个，根据西青区第七次人口普查，人口数量</w:t>
      </w:r>
      <w:r>
        <w:rPr>
          <w:rFonts w:ascii="Times New Roman" w:eastAsia="宋体" w:hAnsi="Times New Roman" w:cs="Times New Roman" w:hint="eastAsia"/>
          <w:sz w:val="24"/>
          <w:szCs w:val="24"/>
        </w:rPr>
        <w:t>119.51</w:t>
      </w:r>
      <w:r>
        <w:rPr>
          <w:rFonts w:ascii="Times New Roman" w:eastAsia="宋体" w:hAnsi="Times New Roman" w:cs="Times New Roman" w:hint="eastAsia"/>
          <w:sz w:val="24"/>
          <w:szCs w:val="24"/>
        </w:rPr>
        <w:t>万人，根据《西青政办发【</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w:t>
      </w:r>
      <w:r>
        <w:rPr>
          <w:rFonts w:ascii="Times New Roman" w:eastAsia="宋体" w:hAnsi="Times New Roman" w:cs="Times New Roman" w:hint="eastAsia"/>
          <w:sz w:val="24"/>
          <w:szCs w:val="24"/>
        </w:rPr>
        <w:t>0.8-1</w:t>
      </w:r>
      <w:r>
        <w:rPr>
          <w:rFonts w:ascii="Times New Roman" w:eastAsia="宋体" w:hAnsi="Times New Roman" w:cs="Times New Roman" w:hint="eastAsia"/>
          <w:sz w:val="24"/>
          <w:szCs w:val="24"/>
        </w:rPr>
        <w:t>万人口建立一个服务站，目前服务站开放数量不足规划数量的一半，扣</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该项指标满分</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分，根据评分标准得</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10</w:t>
      </w:r>
      <w:r>
        <w:rPr>
          <w:rFonts w:ascii="Times New Roman" w:eastAsia="宋体" w:hAnsi="Times New Roman" w:cs="Times New Roman" w:hint="eastAsia"/>
          <w:b/>
          <w:bCs/>
          <w:sz w:val="24"/>
          <w:szCs w:val="24"/>
        </w:rPr>
        <w:t>2</w:t>
      </w:r>
      <w:r>
        <w:rPr>
          <w:rFonts w:ascii="Times New Roman" w:eastAsia="宋体" w:hAnsi="Times New Roman" w:cs="Times New Roman" w:hint="eastAsia"/>
          <w:b/>
          <w:bCs/>
          <w:sz w:val="24"/>
          <w:szCs w:val="24"/>
        </w:rPr>
        <w:t>有效性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该项目是否可以保证社区居民能够有效的了解社区具备该医疗条件保证居民就医。</w:t>
      </w:r>
    </w:p>
    <w:p w:rsidR="00D23886" w:rsidRDefault="007B2FA1">
      <w:pPr>
        <w:pStyle w:val="a0"/>
        <w:spacing w:after="0" w:line="360" w:lineRule="auto"/>
        <w:ind w:firstLineChars="200" w:firstLine="480"/>
        <w:rPr>
          <w:rFonts w:hAnsi="Times New Roman" w:cs="Times New Roman"/>
          <w:sz w:val="24"/>
        </w:rPr>
      </w:pPr>
      <w:r>
        <w:rPr>
          <w:rFonts w:hAnsi="Times New Roman" w:cs="Times New Roman" w:hint="eastAsia"/>
          <w:sz w:val="24"/>
        </w:rPr>
        <w:t>截至目前，关于社区服务站的宣传力度不够，并未进行专项宣传工作保证社区居民能够有效知悉服务站对于居民就医可以提供哪些社会性保证，站点知悉程度仅为部分乡医在村镇口口相传的知悉度，本项扣</w:t>
      </w:r>
      <w:r>
        <w:rPr>
          <w:rFonts w:hAnsi="Times New Roman" w:cs="Times New Roman" w:hint="eastAsia"/>
          <w:sz w:val="24"/>
        </w:rPr>
        <w:t>1.5</w:t>
      </w:r>
      <w:r>
        <w:rPr>
          <w:rFonts w:hAnsi="Times New Roman" w:cs="Times New Roman" w:hint="eastAsia"/>
          <w:sz w:val="24"/>
        </w:rPr>
        <w:t>分。</w:t>
      </w:r>
      <w:r>
        <w:rPr>
          <w:rFonts w:hAnsi="Times New Roman" w:cs="Times New Roman" w:hint="eastAsia"/>
          <w:sz w:val="24"/>
        </w:rPr>
        <w:t xml:space="preserve">   </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0.5</w:t>
      </w:r>
      <w:r>
        <w:rPr>
          <w:rFonts w:ascii="Times New Roman" w:eastAsia="宋体" w:hAnsi="Times New Roman" w:cs="Times New Roman"/>
          <w:sz w:val="24"/>
          <w:szCs w:val="24"/>
        </w:rPr>
        <w:t>分。</w:t>
      </w:r>
    </w:p>
    <w:p w:rsidR="00D23886" w:rsidRDefault="007B2FA1">
      <w:pPr>
        <w:pStyle w:val="a0"/>
        <w:ind w:firstLineChars="200" w:firstLine="482"/>
      </w:pPr>
      <w:r>
        <w:rPr>
          <w:rFonts w:hAnsi="Times New Roman" w:cs="Times New Roman"/>
          <w:b/>
          <w:bCs/>
          <w:sz w:val="24"/>
        </w:rPr>
        <w:t>4.2</w:t>
      </w:r>
      <w:r>
        <w:rPr>
          <w:rFonts w:hAnsi="Times New Roman" w:cs="Times New Roman" w:hint="eastAsia"/>
          <w:b/>
          <w:bCs/>
          <w:sz w:val="24"/>
        </w:rPr>
        <w:t>经济效益</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D201</w:t>
      </w:r>
      <w:r>
        <w:rPr>
          <w:rFonts w:ascii="Times New Roman" w:eastAsia="宋体" w:hAnsi="Times New Roman" w:cs="Times New Roman" w:hint="eastAsia"/>
          <w:b/>
          <w:bCs/>
          <w:sz w:val="24"/>
          <w:szCs w:val="24"/>
        </w:rPr>
        <w:t>便捷性</w:t>
      </w:r>
    </w:p>
    <w:p w:rsidR="00D23886" w:rsidRDefault="007B2FA1">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该项目是否可以全面保证西青各个社区居民的便捷就医。</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经检查，</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年度，站点开放数量为</w:t>
      </w:r>
      <w:r>
        <w:rPr>
          <w:rFonts w:ascii="Times New Roman" w:eastAsia="宋体" w:hAnsi="Times New Roman" w:cs="Times New Roman" w:hint="eastAsia"/>
          <w:sz w:val="24"/>
          <w:szCs w:val="24"/>
        </w:rPr>
        <w:t>54.25</w:t>
      </w:r>
      <w:r>
        <w:rPr>
          <w:rFonts w:ascii="Times New Roman" w:eastAsia="宋体" w:hAnsi="Times New Roman" w:cs="Times New Roman" w:hint="eastAsia"/>
          <w:sz w:val="24"/>
          <w:szCs w:val="24"/>
        </w:rPr>
        <w:t>个，根据西青区第七次人口普查，人口数量</w:t>
      </w:r>
      <w:r>
        <w:rPr>
          <w:rFonts w:ascii="Times New Roman" w:eastAsia="宋体" w:hAnsi="Times New Roman" w:cs="Times New Roman" w:hint="eastAsia"/>
          <w:sz w:val="24"/>
          <w:szCs w:val="24"/>
        </w:rPr>
        <w:t>119.51</w:t>
      </w:r>
      <w:r>
        <w:rPr>
          <w:rFonts w:ascii="Times New Roman" w:eastAsia="宋体" w:hAnsi="Times New Roman" w:cs="Times New Roman" w:hint="eastAsia"/>
          <w:sz w:val="24"/>
          <w:szCs w:val="24"/>
        </w:rPr>
        <w:t>万人，根据《西青政办发【</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w:t>
      </w:r>
      <w:r>
        <w:rPr>
          <w:rFonts w:ascii="Times New Roman" w:eastAsia="宋体" w:hAnsi="Times New Roman" w:cs="Times New Roman" w:hint="eastAsia"/>
          <w:sz w:val="24"/>
          <w:szCs w:val="24"/>
        </w:rPr>
        <w:t>0.8-1</w:t>
      </w:r>
      <w:r>
        <w:rPr>
          <w:rFonts w:ascii="Times New Roman" w:eastAsia="宋体" w:hAnsi="Times New Roman" w:cs="Times New Roman" w:hint="eastAsia"/>
          <w:sz w:val="24"/>
          <w:szCs w:val="24"/>
        </w:rPr>
        <w:t>万人口建立一个服务站，目前服务站开放数量不足规划数量的一半，无法全面保证居民就医的便捷性，扣</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1</w:t>
      </w:r>
      <w:r>
        <w:rPr>
          <w:rFonts w:ascii="Times New Roman" w:eastAsia="宋体" w:hAnsi="Times New Roman" w:cs="Times New Roman"/>
          <w:sz w:val="24"/>
          <w:szCs w:val="24"/>
        </w:rPr>
        <w:t>分。</w:t>
      </w:r>
    </w:p>
    <w:p w:rsidR="00D23886" w:rsidRDefault="007B2FA1">
      <w:pPr>
        <w:pStyle w:val="a0"/>
        <w:ind w:firstLineChars="200" w:firstLine="482"/>
        <w:rPr>
          <w:rFonts w:hAnsi="Times New Roman" w:cs="Times New Roman"/>
          <w:b/>
          <w:bCs/>
          <w:sz w:val="24"/>
        </w:rPr>
      </w:pPr>
      <w:r>
        <w:rPr>
          <w:rFonts w:hAnsi="Times New Roman" w:cs="Times New Roman" w:hint="eastAsia"/>
          <w:b/>
          <w:bCs/>
          <w:sz w:val="24"/>
        </w:rPr>
        <w:t>D202</w:t>
      </w:r>
      <w:r>
        <w:rPr>
          <w:rFonts w:hAnsi="Times New Roman" w:cs="Times New Roman" w:hint="eastAsia"/>
          <w:b/>
          <w:bCs/>
          <w:sz w:val="24"/>
        </w:rPr>
        <w:t>廉价性</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该指标主要考核该项目是否可以保证社区居民能够有效享受到医保就医的廉价性。</w:t>
      </w:r>
    </w:p>
    <w:p w:rsidR="00D23886" w:rsidRDefault="007B2FA1">
      <w:pPr>
        <w:pStyle w:val="a0"/>
        <w:spacing w:after="0" w:line="360" w:lineRule="auto"/>
        <w:ind w:firstLineChars="200" w:firstLine="420"/>
        <w:rPr>
          <w:rFonts w:hAnsi="Times New Roman" w:cs="Times New Roman"/>
          <w:sz w:val="24"/>
        </w:rPr>
      </w:pPr>
      <w:r>
        <w:rPr>
          <w:rFonts w:hint="eastAsia"/>
        </w:rPr>
        <w:t>目</w:t>
      </w:r>
      <w:r>
        <w:rPr>
          <w:rFonts w:hAnsi="Times New Roman" w:cs="Times New Roman" w:hint="eastAsia"/>
          <w:sz w:val="24"/>
        </w:rPr>
        <w:t>前站点已经全部联网，通过全市统一系统，站点医生只负责根据病人情况在统一系统中开药，所有价格为系统统一定价，保证了居民就医的平价性。</w:t>
      </w:r>
    </w:p>
    <w:p w:rsidR="00D23886" w:rsidRDefault="007B2FA1">
      <w:pPr>
        <w:snapToGrid w:val="0"/>
        <w:spacing w:line="360" w:lineRule="auto"/>
        <w:ind w:firstLineChars="200" w:firstLine="480"/>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4.</w:t>
      </w:r>
      <w:r>
        <w:rPr>
          <w:rFonts w:ascii="Times New Roman" w:eastAsia="宋体" w:hAnsi="Times New Roman" w:cs="Times New Roman" w:hint="eastAsia"/>
          <w:b/>
          <w:bCs/>
          <w:sz w:val="24"/>
          <w:szCs w:val="24"/>
        </w:rPr>
        <w:t>3</w:t>
      </w:r>
      <w:r>
        <w:rPr>
          <w:rFonts w:ascii="Times New Roman" w:eastAsia="宋体" w:hAnsi="Times New Roman" w:cs="Times New Roman" w:hint="eastAsia"/>
          <w:b/>
          <w:bCs/>
          <w:sz w:val="24"/>
          <w:szCs w:val="24"/>
        </w:rPr>
        <w:t>可持续效益</w:t>
      </w:r>
    </w:p>
    <w:p w:rsidR="00D23886" w:rsidRDefault="007B2FA1">
      <w:pPr>
        <w:pStyle w:val="a0"/>
        <w:ind w:firstLineChars="200" w:firstLine="482"/>
        <w:rPr>
          <w:rFonts w:hAnsi="Times New Roman" w:cs="Times New Roman"/>
          <w:sz w:val="24"/>
        </w:rPr>
      </w:pPr>
      <w:r>
        <w:rPr>
          <w:rFonts w:hAnsi="Times New Roman" w:cs="Times New Roman" w:hint="eastAsia"/>
          <w:b/>
          <w:bCs/>
          <w:sz w:val="24"/>
        </w:rPr>
        <w:t>D301</w:t>
      </w:r>
      <w:r>
        <w:rPr>
          <w:rFonts w:hAnsi="Times New Roman" w:cs="Times New Roman" w:hint="eastAsia"/>
          <w:b/>
          <w:bCs/>
          <w:sz w:val="24"/>
        </w:rPr>
        <w:t>就业影响</w:t>
      </w:r>
    </w:p>
    <w:p w:rsidR="00D23886" w:rsidRDefault="007B2FA1">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该指标主要考核该项目是否有带动医疗体系内外就业，稳定人民生活水平的影响。</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截至</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年底，实际招聘站点人员</w:t>
      </w:r>
      <w:r>
        <w:rPr>
          <w:rFonts w:ascii="Times New Roman" w:eastAsia="宋体" w:hAnsi="Times New Roman" w:cs="Times New Roman" w:hint="eastAsia"/>
          <w:sz w:val="24"/>
          <w:szCs w:val="24"/>
        </w:rPr>
        <w:t>253</w:t>
      </w:r>
      <w:r>
        <w:rPr>
          <w:rFonts w:ascii="Times New Roman" w:eastAsia="宋体" w:hAnsi="Times New Roman" w:cs="Times New Roman" w:hint="eastAsia"/>
          <w:sz w:val="24"/>
          <w:szCs w:val="24"/>
        </w:rPr>
        <w:t>人，目前站点配备的人员远远达不到规划预期；同时，由于目前站点的宣传力度不够，站点对于其他社区健康行业人员就业的影响力尚未建立，扣</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0.5</w:t>
      </w:r>
      <w:r>
        <w:rPr>
          <w:rFonts w:ascii="Times New Roman" w:eastAsia="宋体" w:hAnsi="Times New Roman" w:cs="Times New Roman"/>
          <w:sz w:val="24"/>
          <w:szCs w:val="24"/>
        </w:rPr>
        <w:t>分。</w:t>
      </w:r>
    </w:p>
    <w:p w:rsidR="00D23886" w:rsidRDefault="007B2FA1">
      <w:pPr>
        <w:pStyle w:val="a0"/>
        <w:ind w:firstLineChars="200" w:firstLine="482"/>
        <w:rPr>
          <w:rFonts w:hAnsi="Times New Roman" w:cs="Times New Roman"/>
          <w:b/>
          <w:bCs/>
          <w:sz w:val="24"/>
        </w:rPr>
      </w:pPr>
      <w:r>
        <w:rPr>
          <w:rFonts w:hAnsi="Times New Roman" w:cs="Times New Roman" w:hint="eastAsia"/>
          <w:b/>
          <w:bCs/>
          <w:sz w:val="24"/>
        </w:rPr>
        <w:t>D302</w:t>
      </w:r>
      <w:r>
        <w:rPr>
          <w:rFonts w:hAnsi="Times New Roman" w:cs="Times New Roman" w:hint="eastAsia"/>
          <w:b/>
          <w:bCs/>
          <w:sz w:val="24"/>
        </w:rPr>
        <w:t>社区经济影响</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该指标主要考核该项目是否对带动社区经济健康发展起到可持续影响力。</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对于社区经济健康发展的影响力，随着站点的开放逐步建立，目前尚未有显著的带动效益，扣</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1</w:t>
      </w:r>
      <w:r>
        <w:rPr>
          <w:rFonts w:ascii="Times New Roman" w:eastAsia="宋体" w:hAnsi="Times New Roman" w:cs="Times New Roman"/>
          <w:sz w:val="24"/>
          <w:szCs w:val="24"/>
        </w:rPr>
        <w:t>分。</w:t>
      </w:r>
    </w:p>
    <w:p w:rsidR="00D23886" w:rsidRDefault="007B2FA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D401</w:t>
      </w:r>
      <w:r>
        <w:rPr>
          <w:rFonts w:ascii="Times New Roman" w:eastAsia="宋体" w:hAnsi="Times New Roman" w:cs="Times New Roman" w:hint="eastAsia"/>
          <w:b/>
          <w:bCs/>
          <w:sz w:val="24"/>
          <w:szCs w:val="24"/>
        </w:rPr>
        <w:t>站点满意度</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各站点</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年度收到对站点投诉的情况。</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截止报告期末统计的站点投诉数量为</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起，主要投诉内容为站点未正常开放，按照每起投诉扣</w:t>
      </w:r>
      <w:r>
        <w:rPr>
          <w:rFonts w:ascii="Times New Roman" w:eastAsia="宋体" w:hAnsi="Times New Roman" w:cs="Times New Roman" w:hint="eastAsia"/>
          <w:sz w:val="24"/>
          <w:szCs w:val="24"/>
        </w:rPr>
        <w:t>0.2</w:t>
      </w:r>
      <w:r>
        <w:rPr>
          <w:rFonts w:ascii="Times New Roman" w:eastAsia="宋体" w:hAnsi="Times New Roman" w:cs="Times New Roman" w:hint="eastAsia"/>
          <w:sz w:val="24"/>
          <w:szCs w:val="24"/>
        </w:rPr>
        <w:t>分，扣</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5</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D402</w:t>
      </w:r>
      <w:r>
        <w:rPr>
          <w:rFonts w:ascii="Times New Roman" w:eastAsia="宋体" w:hAnsi="Times New Roman" w:cs="Times New Roman" w:hint="eastAsia"/>
          <w:b/>
          <w:bCs/>
          <w:sz w:val="24"/>
          <w:szCs w:val="24"/>
        </w:rPr>
        <w:t>医务人员满意度</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各中心</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年度收到对站点人员投诉的情况。</w:t>
      </w:r>
      <w:bookmarkStart w:id="48" w:name="_GoBack"/>
      <w:bookmarkEnd w:id="48"/>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截至报告期末各中心未收到站点医务人员的投诉。</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hint="eastAsia"/>
          <w:sz w:val="24"/>
          <w:szCs w:val="24"/>
        </w:rPr>
        <w:t>5</w:t>
      </w:r>
      <w:r>
        <w:rPr>
          <w:rFonts w:ascii="Times New Roman" w:eastAsia="宋体" w:hAnsi="Times New Roman" w:cs="Times New Roman"/>
          <w:sz w:val="24"/>
          <w:szCs w:val="24"/>
        </w:rPr>
        <w:t>分，根据评分标准得</w:t>
      </w:r>
      <w:r>
        <w:rPr>
          <w:rFonts w:ascii="Times New Roman" w:eastAsia="宋体" w:hAnsi="Times New Roman" w:cs="Times New Roman" w:hint="eastAsia"/>
          <w:sz w:val="24"/>
          <w:szCs w:val="24"/>
        </w:rPr>
        <w:t>5</w:t>
      </w:r>
      <w:r>
        <w:rPr>
          <w:rFonts w:ascii="Times New Roman" w:eastAsia="宋体" w:hAnsi="Times New Roman" w:cs="Times New Roman"/>
          <w:sz w:val="24"/>
          <w:szCs w:val="24"/>
        </w:rPr>
        <w:t>分。</w:t>
      </w:r>
    </w:p>
    <w:p w:rsidR="00D23886" w:rsidRDefault="007B2FA1">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成果</w:t>
      </w:r>
      <w:r>
        <w:rPr>
          <w:rFonts w:ascii="Times New Roman" w:eastAsia="宋体" w:hAnsi="Times New Roman" w:cs="Times New Roman"/>
          <w:b/>
          <w:bCs/>
          <w:sz w:val="24"/>
          <w:szCs w:val="24"/>
        </w:rPr>
        <w:t>指标得分</w:t>
      </w:r>
      <w:r>
        <w:rPr>
          <w:rFonts w:ascii="Times New Roman" w:eastAsia="宋体" w:hAnsi="Times New Roman" w:cs="Times New Roman" w:hint="eastAsia"/>
          <w:b/>
          <w:bCs/>
          <w:sz w:val="24"/>
          <w:szCs w:val="24"/>
        </w:rPr>
        <w:t>14</w:t>
      </w:r>
      <w:r>
        <w:rPr>
          <w:rFonts w:ascii="Times New Roman" w:eastAsia="宋体" w:hAnsi="Times New Roman" w:cs="Times New Roman"/>
          <w:b/>
          <w:bCs/>
          <w:sz w:val="24"/>
          <w:szCs w:val="24"/>
        </w:rPr>
        <w:t>分。</w:t>
      </w:r>
      <w:r w:rsidRPr="00FB1416">
        <w:rPr>
          <w:rFonts w:ascii="Times New Roman" w:eastAsia="宋体" w:hAnsi="Times New Roman" w:cs="Times New Roman"/>
          <w:b/>
          <w:bCs/>
          <w:sz w:val="24"/>
          <w:szCs w:val="24"/>
        </w:rPr>
        <w:t>其中</w:t>
      </w:r>
      <w:r w:rsidRPr="00FB1416">
        <w:rPr>
          <w:rFonts w:ascii="Times New Roman" w:eastAsia="宋体" w:hAnsi="Times New Roman" w:cs="Times New Roman"/>
          <w:b/>
          <w:bCs/>
          <w:sz w:val="24"/>
          <w:szCs w:val="24"/>
        </w:rPr>
        <w:t>:</w:t>
      </w:r>
      <w:r w:rsidRPr="00FB1416">
        <w:rPr>
          <w:rFonts w:ascii="Times New Roman" w:eastAsia="宋体" w:hAnsi="Times New Roman" w:cs="Times New Roman" w:hint="eastAsia"/>
          <w:b/>
          <w:bCs/>
          <w:sz w:val="24"/>
          <w:szCs w:val="24"/>
        </w:rPr>
        <w:t>社会效益</w:t>
      </w:r>
      <w:r w:rsidRPr="00FB1416">
        <w:rPr>
          <w:rFonts w:ascii="Times New Roman" w:eastAsia="宋体" w:hAnsi="Times New Roman" w:cs="Times New Roman"/>
          <w:b/>
          <w:bCs/>
          <w:sz w:val="24"/>
          <w:szCs w:val="24"/>
        </w:rPr>
        <w:t>指标得</w:t>
      </w:r>
      <w:r w:rsidR="0037634D" w:rsidRPr="00FB1416">
        <w:rPr>
          <w:rFonts w:ascii="Times New Roman" w:eastAsia="宋体" w:hAnsi="Times New Roman" w:cs="Times New Roman"/>
          <w:b/>
          <w:bCs/>
          <w:sz w:val="24"/>
          <w:szCs w:val="24"/>
        </w:rPr>
        <w:t>1.5</w:t>
      </w:r>
      <w:r w:rsidRPr="00FB1416">
        <w:rPr>
          <w:rFonts w:ascii="Times New Roman" w:eastAsia="宋体" w:hAnsi="Times New Roman" w:cs="Times New Roman"/>
          <w:b/>
          <w:bCs/>
          <w:sz w:val="24"/>
          <w:szCs w:val="24"/>
        </w:rPr>
        <w:t>分</w:t>
      </w:r>
      <w:r w:rsidRPr="00FB1416">
        <w:rPr>
          <w:rFonts w:ascii="Times New Roman" w:eastAsia="宋体" w:hAnsi="Times New Roman" w:cs="Times New Roman"/>
          <w:b/>
          <w:bCs/>
          <w:sz w:val="24"/>
          <w:szCs w:val="24"/>
        </w:rPr>
        <w:t xml:space="preserve">; </w:t>
      </w:r>
      <w:r w:rsidRPr="00FB1416">
        <w:rPr>
          <w:rFonts w:ascii="Times New Roman" w:eastAsia="宋体" w:hAnsi="Times New Roman" w:cs="Times New Roman" w:hint="eastAsia"/>
          <w:b/>
          <w:bCs/>
          <w:sz w:val="24"/>
          <w:szCs w:val="24"/>
        </w:rPr>
        <w:t>经济效益得</w:t>
      </w:r>
      <w:r w:rsidR="0037634D" w:rsidRPr="00FB1416">
        <w:rPr>
          <w:rFonts w:ascii="Times New Roman" w:eastAsia="宋体" w:hAnsi="Times New Roman" w:cs="Times New Roman"/>
          <w:b/>
          <w:bCs/>
          <w:sz w:val="24"/>
          <w:szCs w:val="24"/>
        </w:rPr>
        <w:t>3</w:t>
      </w:r>
      <w:r w:rsidRPr="00FB1416">
        <w:rPr>
          <w:rFonts w:ascii="Times New Roman" w:eastAsia="宋体" w:hAnsi="Times New Roman" w:cs="Times New Roman" w:hint="eastAsia"/>
          <w:b/>
          <w:bCs/>
          <w:sz w:val="24"/>
          <w:szCs w:val="24"/>
        </w:rPr>
        <w:t>分；可持续效益得</w:t>
      </w:r>
      <w:r w:rsidR="0037634D" w:rsidRPr="00FB1416">
        <w:rPr>
          <w:rFonts w:ascii="Times New Roman" w:eastAsia="宋体" w:hAnsi="Times New Roman" w:cs="Times New Roman"/>
          <w:b/>
          <w:bCs/>
          <w:sz w:val="24"/>
          <w:szCs w:val="24"/>
        </w:rPr>
        <w:t>1.5</w:t>
      </w:r>
      <w:r w:rsidRPr="00FB1416">
        <w:rPr>
          <w:rFonts w:ascii="Times New Roman" w:eastAsia="宋体" w:hAnsi="Times New Roman" w:cs="Times New Roman" w:hint="eastAsia"/>
          <w:b/>
          <w:bCs/>
          <w:sz w:val="24"/>
          <w:szCs w:val="24"/>
        </w:rPr>
        <w:t>分；满意度指</w:t>
      </w:r>
      <w:r w:rsidRPr="00FB1416">
        <w:rPr>
          <w:rFonts w:ascii="Times New Roman" w:eastAsia="宋体" w:hAnsi="Times New Roman" w:cs="Times New Roman"/>
          <w:b/>
          <w:bCs/>
          <w:sz w:val="24"/>
          <w:szCs w:val="24"/>
        </w:rPr>
        <w:t>标得</w:t>
      </w:r>
      <w:r w:rsidRPr="00FB1416">
        <w:rPr>
          <w:rFonts w:ascii="Times New Roman" w:eastAsia="宋体" w:hAnsi="Times New Roman" w:cs="Times New Roman" w:hint="eastAsia"/>
          <w:b/>
          <w:bCs/>
          <w:sz w:val="24"/>
          <w:szCs w:val="24"/>
        </w:rPr>
        <w:t>8</w:t>
      </w:r>
      <w:r w:rsidRPr="00FB1416">
        <w:rPr>
          <w:rFonts w:ascii="Times New Roman" w:eastAsia="宋体" w:hAnsi="Times New Roman" w:cs="Times New Roman"/>
          <w:b/>
          <w:bCs/>
          <w:sz w:val="24"/>
          <w:szCs w:val="24"/>
        </w:rPr>
        <w:t>分。</w:t>
      </w:r>
    </w:p>
    <w:p w:rsidR="00D23886" w:rsidRDefault="007B2FA1">
      <w:pPr>
        <w:pStyle w:val="1"/>
        <w:snapToGrid w:val="0"/>
        <w:ind w:left="420"/>
        <w:rPr>
          <w:rFonts w:ascii="Times New Roman" w:eastAsia="宋体" w:hAnsi="Times New Roman"/>
          <w:sz w:val="24"/>
          <w:szCs w:val="24"/>
        </w:rPr>
      </w:pPr>
      <w:bookmarkStart w:id="49" w:name="_Toc85135194"/>
      <w:r>
        <w:rPr>
          <w:rFonts w:ascii="Times New Roman" w:eastAsia="宋体" w:hAnsi="Times New Roman"/>
          <w:sz w:val="24"/>
          <w:szCs w:val="24"/>
        </w:rPr>
        <w:t>四、主要存在的问题和建议</w:t>
      </w:r>
      <w:bookmarkEnd w:id="49"/>
    </w:p>
    <w:p w:rsidR="00D23886" w:rsidRDefault="007B2FA1">
      <w:pPr>
        <w:pStyle w:val="2"/>
        <w:snapToGrid w:val="0"/>
        <w:ind w:left="420"/>
        <w:rPr>
          <w:rFonts w:ascii="Times New Roman" w:eastAsia="宋体" w:hAnsi="Times New Roman"/>
          <w:sz w:val="24"/>
          <w:szCs w:val="24"/>
        </w:rPr>
      </w:pPr>
      <w:bookmarkStart w:id="50" w:name="_Toc85135195"/>
      <w:r>
        <w:rPr>
          <w:rFonts w:ascii="Times New Roman" w:eastAsia="宋体" w:hAnsi="Times New Roman"/>
          <w:sz w:val="24"/>
          <w:szCs w:val="24"/>
        </w:rPr>
        <w:t>（一）</w:t>
      </w:r>
      <w:bookmarkStart w:id="51" w:name="_Toc497174795"/>
      <w:bookmarkStart w:id="52" w:name="_Toc490229528"/>
      <w:bookmarkStart w:id="53" w:name="_Toc85135198"/>
      <w:bookmarkEnd w:id="50"/>
      <w:r>
        <w:rPr>
          <w:rFonts w:ascii="Times New Roman" w:eastAsia="宋体" w:hAnsi="Times New Roman"/>
          <w:sz w:val="24"/>
          <w:szCs w:val="24"/>
        </w:rPr>
        <w:t>主要问题</w:t>
      </w:r>
      <w:bookmarkEnd w:id="51"/>
      <w:bookmarkEnd w:id="52"/>
      <w:bookmarkEnd w:id="53"/>
      <w:r>
        <w:rPr>
          <w:rFonts w:ascii="Times New Roman" w:eastAsia="宋体" w:hAnsi="Times New Roman"/>
          <w:sz w:val="24"/>
          <w:szCs w:val="24"/>
        </w:rPr>
        <w:tab/>
      </w:r>
    </w:p>
    <w:p w:rsidR="00D23886" w:rsidRDefault="007B2FA1">
      <w:pPr>
        <w:pStyle w:val="3"/>
        <w:ind w:left="630"/>
        <w:rPr>
          <w:rFonts w:ascii="Times New Roman" w:eastAsia="宋体" w:hAnsi="Times New Roman" w:cs="Times New Roman"/>
          <w:sz w:val="24"/>
          <w:szCs w:val="24"/>
        </w:rPr>
      </w:pPr>
      <w:bookmarkStart w:id="54" w:name="_Toc85135199"/>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bookmarkEnd w:id="54"/>
      <w:r>
        <w:rPr>
          <w:rFonts w:ascii="Times New Roman" w:eastAsia="宋体" w:hAnsi="Times New Roman" w:cs="Times New Roman" w:hint="eastAsia"/>
          <w:sz w:val="24"/>
          <w:szCs w:val="24"/>
        </w:rPr>
        <w:t>项目推进迟缓，成效不理想</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根据《西青政办发【</w:t>
      </w:r>
      <w:r>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57</w:t>
      </w:r>
      <w:r>
        <w:rPr>
          <w:rFonts w:ascii="Times New Roman" w:eastAsia="宋体" w:hAnsi="Times New Roman" w:cs="Times New Roman" w:hint="eastAsia"/>
          <w:sz w:val="24"/>
          <w:szCs w:val="24"/>
        </w:rPr>
        <w:t>号》，规划开放的服务站点为</w:t>
      </w:r>
      <w:r>
        <w:rPr>
          <w:rFonts w:ascii="Times New Roman" w:eastAsia="宋体" w:hAnsi="Times New Roman" w:cs="Times New Roman" w:hint="eastAsia"/>
          <w:sz w:val="24"/>
          <w:szCs w:val="24"/>
        </w:rPr>
        <w:t>110</w:t>
      </w:r>
      <w:r>
        <w:rPr>
          <w:rFonts w:ascii="Times New Roman" w:eastAsia="宋体" w:hAnsi="Times New Roman" w:cs="Times New Roman" w:hint="eastAsia"/>
          <w:sz w:val="24"/>
          <w:szCs w:val="24"/>
        </w:rPr>
        <w:t>个，截止</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年底，实际开放的服务站</w:t>
      </w:r>
      <w:r>
        <w:rPr>
          <w:rFonts w:ascii="Times New Roman" w:eastAsia="宋体" w:hAnsi="Times New Roman" w:cs="Times New Roman" w:hint="eastAsia"/>
          <w:sz w:val="24"/>
          <w:szCs w:val="24"/>
        </w:rPr>
        <w:t>54.25</w:t>
      </w:r>
      <w:r>
        <w:rPr>
          <w:rFonts w:ascii="Times New Roman" w:eastAsia="宋体" w:hAnsi="Times New Roman" w:cs="Times New Roman" w:hint="eastAsia"/>
          <w:sz w:val="24"/>
          <w:szCs w:val="24"/>
        </w:rPr>
        <w:t>个（根据各中心上报</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年度实际站点开放月数加权统计），站点完成率为</w:t>
      </w:r>
      <w:r>
        <w:rPr>
          <w:rFonts w:ascii="Times New Roman" w:eastAsia="宋体" w:hAnsi="Times New Roman" w:cs="Times New Roman" w:hint="eastAsia"/>
          <w:sz w:val="24"/>
          <w:szCs w:val="24"/>
        </w:rPr>
        <w:t>49.32%</w:t>
      </w:r>
      <w:r>
        <w:rPr>
          <w:rFonts w:ascii="Times New Roman" w:eastAsia="宋体" w:hAnsi="Times New Roman" w:cs="Times New Roman" w:hint="eastAsia"/>
          <w:sz w:val="24"/>
          <w:szCs w:val="24"/>
        </w:rPr>
        <w:t>；规划站点人员配备应达到</w:t>
      </w:r>
      <w:r>
        <w:rPr>
          <w:rFonts w:ascii="Times New Roman" w:eastAsia="宋体" w:hAnsi="Times New Roman" w:cs="Times New Roman" w:hint="eastAsia"/>
          <w:sz w:val="24"/>
          <w:szCs w:val="24"/>
        </w:rPr>
        <w:t>660</w:t>
      </w:r>
      <w:r>
        <w:rPr>
          <w:rFonts w:ascii="Times New Roman" w:eastAsia="宋体" w:hAnsi="Times New Roman" w:cs="Times New Roman" w:hint="eastAsia"/>
          <w:sz w:val="24"/>
          <w:szCs w:val="24"/>
        </w:rPr>
        <w:t>人</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，截至</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年底，实际站点人员数量</w:t>
      </w:r>
      <w:r>
        <w:rPr>
          <w:rFonts w:ascii="Times New Roman" w:eastAsia="宋体" w:hAnsi="Times New Roman" w:cs="Times New Roman" w:hint="eastAsia"/>
          <w:sz w:val="24"/>
          <w:szCs w:val="24"/>
        </w:rPr>
        <w:t>253</w:t>
      </w:r>
      <w:r>
        <w:rPr>
          <w:rFonts w:ascii="Times New Roman" w:eastAsia="宋体" w:hAnsi="Times New Roman" w:cs="Times New Roman" w:hint="eastAsia"/>
          <w:sz w:val="24"/>
          <w:szCs w:val="24"/>
        </w:rPr>
        <w:t>人，站点人员完成率为</w:t>
      </w:r>
      <w:r>
        <w:rPr>
          <w:rFonts w:ascii="Times New Roman" w:eastAsia="宋体" w:hAnsi="Times New Roman" w:cs="Times New Roman" w:hint="eastAsia"/>
          <w:sz w:val="24"/>
          <w:szCs w:val="24"/>
        </w:rPr>
        <w:t>38.33%</w:t>
      </w:r>
      <w:r>
        <w:rPr>
          <w:rFonts w:ascii="Times New Roman" w:eastAsia="宋体" w:hAnsi="Times New Roman" w:cs="Times New Roman" w:hint="eastAsia"/>
          <w:sz w:val="24"/>
          <w:szCs w:val="24"/>
        </w:rPr>
        <w:t>，与项目标准有较大差距。</w:t>
      </w:r>
    </w:p>
    <w:p w:rsidR="00D23886" w:rsidRDefault="007B2FA1">
      <w:pPr>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2</w:t>
      </w:r>
      <w:r>
        <w:rPr>
          <w:rFonts w:ascii="Times New Roman" w:eastAsia="宋体" w:hAnsi="Times New Roman" w:cs="Times New Roman" w:hint="eastAsia"/>
          <w:b/>
          <w:bCs/>
          <w:sz w:val="24"/>
          <w:szCs w:val="24"/>
        </w:rPr>
        <w:t>、人员信息滞后，管理不完善</w:t>
      </w:r>
    </w:p>
    <w:p w:rsidR="00D23886" w:rsidRDefault="007B2FA1">
      <w:pPr>
        <w:pStyle w:val="a0"/>
        <w:spacing w:line="360" w:lineRule="auto"/>
        <w:rPr>
          <w:rFonts w:hAnsi="Times New Roman" w:cs="Times New Roman"/>
          <w:sz w:val="24"/>
        </w:rPr>
      </w:pPr>
      <w:r>
        <w:rPr>
          <w:rFonts w:hAnsi="Times New Roman" w:cs="Times New Roman" w:hint="eastAsia"/>
          <w:b/>
          <w:bCs/>
          <w:sz w:val="24"/>
        </w:rPr>
        <w:t xml:space="preserve"> </w:t>
      </w:r>
      <w:r>
        <w:rPr>
          <w:rFonts w:hAnsi="Times New Roman" w:cs="Times New Roman" w:hint="eastAsia"/>
          <w:sz w:val="24"/>
        </w:rPr>
        <w:t xml:space="preserve">   </w:t>
      </w:r>
      <w:r>
        <w:rPr>
          <w:rFonts w:hAnsi="Times New Roman" w:cs="Times New Roman" w:hint="eastAsia"/>
          <w:sz w:val="24"/>
        </w:rPr>
        <w:t>西青区卫健委目前仅通过与各中心签订目标管理责任书的方式对站点人员进行绩效考评与管理，并将绩效考核结果作为社区医生执业注册、动态调整和绩效分配的主要依据，在评价过程中，未见完整、统一的站点人员绩效考核管理办法。</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在人员经费拨付层面，未见对于人员相关考核信息进行确认的过程留痕，仅通过各中心上报的相关人员信息进行人员经费拨付。</w:t>
      </w:r>
    </w:p>
    <w:p w:rsidR="00D23886" w:rsidRDefault="007B2FA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人员信息管理方面，西青区卫健委人事科汇总各中心上报的站点人员信息周期过长，实际的人员入职、离职信息、所在站点信息等相关内容与各中心汇总的站点人员信息因统计滞后，存在不一致的现象，影响绩效考核与分配的时效性与准确性。</w:t>
      </w:r>
    </w:p>
    <w:p w:rsidR="00D23886" w:rsidRDefault="007B2FA1">
      <w:pPr>
        <w:pStyle w:val="a0"/>
        <w:ind w:firstLineChars="200" w:firstLine="482"/>
        <w:rPr>
          <w:rFonts w:hAnsi="Times New Roman" w:cs="Times New Roman"/>
          <w:b/>
          <w:bCs/>
          <w:sz w:val="24"/>
        </w:rPr>
      </w:pPr>
      <w:r>
        <w:rPr>
          <w:rFonts w:hAnsi="Times New Roman" w:cs="Times New Roman" w:hint="eastAsia"/>
          <w:b/>
          <w:bCs/>
          <w:sz w:val="24"/>
        </w:rPr>
        <w:t>3</w:t>
      </w:r>
      <w:r>
        <w:rPr>
          <w:rFonts w:hAnsi="Times New Roman" w:cs="Times New Roman" w:hint="eastAsia"/>
          <w:b/>
          <w:bCs/>
          <w:sz w:val="24"/>
        </w:rPr>
        <w:t>、制度建设不足，体系不健全</w:t>
      </w:r>
    </w:p>
    <w:p w:rsidR="00D23886" w:rsidRDefault="007B2FA1">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在制度建设方面，西青区卫健委通过《西青卫健委【</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号》对站点相关制度进行规范，涵盖站点、人员、工资、项目资金管理，对于站点绩效管理，西青区卫健委仅与各中心签订了《目标管理责任书》约定各中心执行站点绩效管理，工作表述内容宽泛，可实施性较差。评价期间，未见西青区卫健委建立相应的站点绩效考评方案与具体实施细则，在站点考评制度上存在空缺。</w:t>
      </w:r>
    </w:p>
    <w:p w:rsidR="00D23886" w:rsidRDefault="007B2FA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4</w:t>
      </w:r>
      <w:r>
        <w:rPr>
          <w:rFonts w:ascii="Times New Roman" w:eastAsia="宋体" w:hAnsi="Times New Roman" w:cs="Times New Roman" w:hint="eastAsia"/>
          <w:b/>
          <w:bCs/>
          <w:sz w:val="24"/>
          <w:szCs w:val="24"/>
        </w:rPr>
        <w:t>、支出分配不均，权重不合理</w:t>
      </w:r>
    </w:p>
    <w:p w:rsidR="00D23886" w:rsidRDefault="007B2FA1">
      <w:pPr>
        <w:pStyle w:val="a0"/>
        <w:spacing w:after="0" w:line="360" w:lineRule="auto"/>
        <w:ind w:firstLine="482"/>
        <w:rPr>
          <w:rFonts w:hAnsi="Times New Roman" w:cs="Times New Roman"/>
          <w:sz w:val="24"/>
        </w:rPr>
      </w:pPr>
      <w:r>
        <w:rPr>
          <w:rFonts w:hAnsi="Times New Roman" w:cs="Times New Roman" w:hint="eastAsia"/>
          <w:sz w:val="24"/>
        </w:rPr>
        <w:t>经评价组了解，目前运行费用的补助为各中心</w:t>
      </w:r>
      <w:r>
        <w:rPr>
          <w:rFonts w:hAnsi="Times New Roman" w:cs="Times New Roman" w:hint="eastAsia"/>
          <w:sz w:val="24"/>
        </w:rPr>
        <w:t>3</w:t>
      </w:r>
      <w:r>
        <w:rPr>
          <w:rFonts w:hAnsi="Times New Roman" w:cs="Times New Roman" w:hint="eastAsia"/>
          <w:sz w:val="24"/>
        </w:rPr>
        <w:t>万元</w:t>
      </w:r>
      <w:r>
        <w:rPr>
          <w:rFonts w:hAnsi="Times New Roman" w:cs="Times New Roman" w:hint="eastAsia"/>
          <w:sz w:val="24"/>
        </w:rPr>
        <w:t>/</w:t>
      </w:r>
      <w:r>
        <w:rPr>
          <w:rFonts w:hAnsi="Times New Roman" w:cs="Times New Roman" w:hint="eastAsia"/>
          <w:sz w:val="24"/>
        </w:rPr>
        <w:t>年；缺少权重计算过程，西青区各站点的规模存在很大差异，运行费用补助在不同的站点存在结存和亏空的现象。在中心层面上，补助费用的使用效率还有较大提升空间。</w:t>
      </w:r>
    </w:p>
    <w:p w:rsidR="00D23886" w:rsidRDefault="007B2FA1">
      <w:pPr>
        <w:pStyle w:val="2"/>
        <w:snapToGrid w:val="0"/>
        <w:ind w:left="420"/>
        <w:rPr>
          <w:rFonts w:ascii="Times New Roman" w:eastAsia="宋体" w:hAnsi="Times New Roman"/>
          <w:sz w:val="24"/>
          <w:szCs w:val="24"/>
        </w:rPr>
      </w:pPr>
      <w:bookmarkStart w:id="55" w:name="_Toc85135201"/>
      <w:r>
        <w:rPr>
          <w:rFonts w:ascii="Times New Roman" w:eastAsia="宋体" w:hAnsi="Times New Roman"/>
          <w:sz w:val="24"/>
          <w:szCs w:val="24"/>
        </w:rPr>
        <w:t>（</w:t>
      </w:r>
      <w:r>
        <w:rPr>
          <w:rFonts w:ascii="Times New Roman" w:eastAsia="宋体" w:hAnsi="Times New Roman" w:hint="eastAsia"/>
          <w:sz w:val="24"/>
          <w:szCs w:val="24"/>
        </w:rPr>
        <w:t>二</w:t>
      </w:r>
      <w:r>
        <w:rPr>
          <w:rFonts w:ascii="Times New Roman" w:eastAsia="宋体" w:hAnsi="Times New Roman"/>
          <w:sz w:val="24"/>
          <w:szCs w:val="24"/>
        </w:rPr>
        <w:t>）建议和改进措施</w:t>
      </w:r>
      <w:bookmarkEnd w:id="55"/>
    </w:p>
    <w:p w:rsidR="00D23886" w:rsidRDefault="007B2FA1">
      <w:pPr>
        <w:pStyle w:val="3"/>
        <w:ind w:leftChars="0" w:left="0" w:firstLineChars="200" w:firstLine="482"/>
        <w:rPr>
          <w:rFonts w:ascii="Times New Roman" w:eastAsia="宋体" w:hAnsi="Times New Roman" w:cs="Times New Roman"/>
          <w:sz w:val="24"/>
          <w:szCs w:val="24"/>
        </w:rPr>
      </w:pPr>
      <w:bookmarkStart w:id="56" w:name="_Toc85135202"/>
      <w:r>
        <w:rPr>
          <w:rFonts w:ascii="Times New Roman" w:eastAsia="宋体" w:hAnsi="Times New Roman" w:cs="Times New Roman"/>
          <w:sz w:val="24"/>
          <w:szCs w:val="24"/>
        </w:rPr>
        <w:t>1</w:t>
      </w:r>
      <w:bookmarkEnd w:id="56"/>
      <w:r>
        <w:rPr>
          <w:rFonts w:ascii="Times New Roman" w:eastAsia="宋体" w:hAnsi="Times New Roman" w:cs="Times New Roman" w:hint="eastAsia"/>
          <w:sz w:val="24"/>
          <w:szCs w:val="24"/>
        </w:rPr>
        <w:t>、加强项目管理，推进项目落实</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①聚焦任务目标，分解项目难点。加强项目梳理，通过对项目目标的细化拆分，分类制定推进计划，落实站点开放过程中的涉及的证照、人员、设备、后勤保障等必要需求；设置专项领导小组，落实部门与相关岗位职责，从上至下，加强项目管理；</w:t>
      </w:r>
    </w:p>
    <w:p w:rsidR="00D23886" w:rsidRDefault="007B2FA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②制定超期项目的解决方案与实施路径，形成项目信息反馈机制，建立项目计划与落实对标台账，自下而上在成本、进度、人力等方面对项目实施动态管控。</w:t>
      </w:r>
      <w:r>
        <w:rPr>
          <w:rFonts w:ascii="Times New Roman" w:eastAsia="宋体" w:hAnsi="Times New Roman" w:cs="Times New Roman" w:hint="eastAsia"/>
          <w:sz w:val="24"/>
          <w:szCs w:val="24"/>
        </w:rPr>
        <w:t xml:space="preserve"> </w:t>
      </w:r>
    </w:p>
    <w:p w:rsidR="00D23886" w:rsidRDefault="007B2FA1">
      <w:pPr>
        <w:autoSpaceDE w:val="0"/>
        <w:autoSpaceDN w:val="0"/>
        <w:adjustRightInd w:val="0"/>
        <w:snapToGrid w:val="0"/>
        <w:spacing w:line="360" w:lineRule="auto"/>
        <w:ind w:firstLineChars="200" w:firstLine="482"/>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2</w:t>
      </w:r>
      <w:r>
        <w:rPr>
          <w:rFonts w:ascii="Times New Roman" w:eastAsia="宋体" w:hAnsi="Times New Roman" w:cs="Times New Roman" w:hint="eastAsia"/>
          <w:b/>
          <w:bCs/>
          <w:sz w:val="24"/>
          <w:szCs w:val="24"/>
        </w:rPr>
        <w:t>、重视人员考评，监督制度实施</w:t>
      </w:r>
    </w:p>
    <w:p w:rsidR="00D23886" w:rsidRDefault="007B2FA1">
      <w:pPr>
        <w:pStyle w:val="a0"/>
        <w:spacing w:after="0" w:line="360" w:lineRule="auto"/>
        <w:ind w:firstLineChars="200" w:firstLine="480"/>
        <w:jc w:val="left"/>
        <w:rPr>
          <w:rFonts w:hAnsi="Times New Roman" w:cs="Times New Roman"/>
          <w:color w:val="000000"/>
          <w:kern w:val="0"/>
          <w:sz w:val="24"/>
        </w:rPr>
      </w:pPr>
      <w:r>
        <w:rPr>
          <w:rFonts w:hAnsi="Times New Roman" w:cs="Times New Roman" w:hint="eastAsia"/>
          <w:color w:val="000000"/>
          <w:kern w:val="0"/>
          <w:sz w:val="24"/>
        </w:rPr>
        <w:t>西青区卫健委应当建立统一的站点人员绩效考评体系，在各中心签订目标责任书的基础上，建立卫健委建立人员信息同步机制（必要可借助系统）同步更新人员信息；同时，明确考评方式，包括乡医补助的具体发放及考核要求，实现站点医务人员的制度完善、标准统一；重视制度执行的监督工作，定期开展监督检查，保证制度有效执行。</w:t>
      </w:r>
    </w:p>
    <w:p w:rsidR="00D23886" w:rsidRDefault="007B2FA1">
      <w:pPr>
        <w:autoSpaceDE w:val="0"/>
        <w:autoSpaceDN w:val="0"/>
        <w:adjustRightInd w:val="0"/>
        <w:snapToGrid w:val="0"/>
        <w:spacing w:line="360" w:lineRule="auto"/>
        <w:ind w:firstLineChars="200" w:firstLine="482"/>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3</w:t>
      </w:r>
      <w:r>
        <w:rPr>
          <w:rFonts w:ascii="Times New Roman" w:eastAsia="宋体" w:hAnsi="Times New Roman" w:cs="Times New Roman" w:hint="eastAsia"/>
          <w:b/>
          <w:bCs/>
          <w:sz w:val="24"/>
          <w:szCs w:val="24"/>
        </w:rPr>
        <w:t>、推进制度建设，完善绩效评价</w:t>
      </w:r>
    </w:p>
    <w:p w:rsidR="00D23886" w:rsidRDefault="007B2FA1">
      <w:pPr>
        <w:autoSpaceDE w:val="0"/>
        <w:autoSpaceDN w:val="0"/>
        <w:adjustRightInd w:val="0"/>
        <w:snapToGrid w:val="0"/>
        <w:spacing w:line="360" w:lineRule="auto"/>
        <w:ind w:firstLineChars="200" w:firstLine="480"/>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在卫健委层面对各中心在站点绩效评价制度建设方面予以指导，充分剖析站点绩效评价的维度（日常管理、项目推进、政策落实、效益评价）量化评价标准，分解绩效目标，制定并落实站点绩效考评制度，从而保障科学的评判站点绩效完成情况。</w:t>
      </w:r>
    </w:p>
    <w:p w:rsidR="00D23886" w:rsidRDefault="007B2FA1">
      <w:pPr>
        <w:autoSpaceDE w:val="0"/>
        <w:autoSpaceDN w:val="0"/>
        <w:adjustRightInd w:val="0"/>
        <w:snapToGrid w:val="0"/>
        <w:spacing w:line="360" w:lineRule="auto"/>
        <w:ind w:firstLineChars="200" w:firstLine="482"/>
        <w:jc w:val="left"/>
        <w:rPr>
          <w:rFonts w:ascii="Times New Roman" w:eastAsia="宋体" w:hAnsi="Times New Roman" w:cs="Times New Roman"/>
          <w:b/>
          <w:bCs/>
          <w:color w:val="000000"/>
          <w:kern w:val="0"/>
          <w:sz w:val="24"/>
          <w:szCs w:val="24"/>
        </w:rPr>
      </w:pPr>
      <w:r>
        <w:rPr>
          <w:rFonts w:ascii="Times New Roman" w:eastAsia="宋体" w:hAnsi="Times New Roman" w:cs="Times New Roman" w:hint="eastAsia"/>
          <w:b/>
          <w:bCs/>
          <w:color w:val="000000"/>
          <w:kern w:val="0"/>
          <w:sz w:val="24"/>
          <w:szCs w:val="24"/>
        </w:rPr>
        <w:t>4</w:t>
      </w:r>
      <w:r>
        <w:rPr>
          <w:rFonts w:ascii="Times New Roman" w:eastAsia="宋体" w:hAnsi="Times New Roman" w:cs="Times New Roman" w:hint="eastAsia"/>
          <w:b/>
          <w:bCs/>
          <w:color w:val="000000"/>
          <w:kern w:val="0"/>
          <w:sz w:val="24"/>
          <w:szCs w:val="24"/>
        </w:rPr>
        <w:t>、深入站点调研，细化测算权重</w:t>
      </w:r>
    </w:p>
    <w:p w:rsidR="00D23886" w:rsidRDefault="007B2FA1">
      <w:pPr>
        <w:spacing w:line="360" w:lineRule="auto"/>
        <w:ind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运行费用补助属于筑底项目费用支出的重要维度之一，西青区卫健委应当在各中心开展深入的调研工作，对各站点的实际情况（规模、运维、设备更新）充分了解，科学测算运行费用补助金额与分配权重，提高运行费用补助的使用效率，也有利于提高项目总体成本测算的准确性。</w:t>
      </w:r>
    </w:p>
    <w:p w:rsidR="00D23886" w:rsidRDefault="007B2FA1">
      <w:pPr>
        <w:autoSpaceDE w:val="0"/>
        <w:autoSpaceDN w:val="0"/>
        <w:adjustRightInd w:val="0"/>
        <w:snapToGrid w:val="0"/>
        <w:spacing w:line="360" w:lineRule="auto"/>
        <w:ind w:firstLineChars="200" w:firstLine="482"/>
        <w:jc w:val="left"/>
        <w:rPr>
          <w:rFonts w:ascii="Times New Roman" w:eastAsia="宋体" w:hAnsi="Times New Roman" w:cs="Times New Roman"/>
          <w:b/>
          <w:bCs/>
          <w:color w:val="000000"/>
          <w:kern w:val="0"/>
          <w:sz w:val="24"/>
          <w:szCs w:val="24"/>
        </w:rPr>
      </w:pPr>
      <w:r>
        <w:rPr>
          <w:rFonts w:ascii="Times New Roman" w:eastAsia="宋体" w:hAnsi="Times New Roman" w:cs="Times New Roman" w:hint="eastAsia"/>
          <w:b/>
          <w:bCs/>
          <w:color w:val="000000"/>
          <w:kern w:val="0"/>
          <w:sz w:val="24"/>
          <w:szCs w:val="24"/>
        </w:rPr>
        <w:t>5</w:t>
      </w:r>
      <w:r>
        <w:rPr>
          <w:rFonts w:ascii="Times New Roman" w:eastAsia="宋体" w:hAnsi="Times New Roman" w:cs="Times New Roman" w:hint="eastAsia"/>
          <w:b/>
          <w:bCs/>
          <w:color w:val="000000"/>
          <w:kern w:val="0"/>
          <w:sz w:val="24"/>
          <w:szCs w:val="24"/>
        </w:rPr>
        <w:t>、强化站点宣传，推动健康社区</w:t>
      </w:r>
    </w:p>
    <w:p w:rsidR="00D23886" w:rsidRPr="00265257" w:rsidRDefault="007B2FA1" w:rsidP="00265257">
      <w:pPr>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为深化医疗服务体系建设，普及站点对于社区居民的作用，西青区卫健委应明确各中心将对社区卫生服务站的宣传作为年度工作中的一部分。通过发放宣传手册、社区公告牌等形式，普及站点在居民就医中发挥的作用，明确医疗联合体中社区卫生服务站的功能，推进</w:t>
      </w:r>
      <w:r>
        <w:rPr>
          <w:rFonts w:ascii="Times New Roman" w:eastAsia="宋体" w:hAnsi="Times New Roman" w:cs="Times New Roman"/>
          <w:color w:val="000000"/>
          <w:kern w:val="0"/>
          <w:sz w:val="24"/>
          <w:szCs w:val="24"/>
        </w:rPr>
        <w:t>医疗、康复、护理有序衔接的服务体系</w:t>
      </w:r>
      <w:r>
        <w:rPr>
          <w:rFonts w:ascii="Times New Roman" w:eastAsia="宋体" w:hAnsi="Times New Roman" w:cs="Times New Roman" w:hint="eastAsia"/>
          <w:color w:val="000000"/>
          <w:kern w:val="0"/>
          <w:sz w:val="24"/>
          <w:szCs w:val="24"/>
        </w:rPr>
        <w:t>搭建，真正发挥社区卫生服务站对于居民小病就医便捷的功能，同时将定期培训居民健康意识等活动纳入站点人员绩效考核标准，让社区卫生服务站最大效力的发挥其在公共医疗中的作用。</w:t>
      </w:r>
      <w:r w:rsidR="00BC797D">
        <w:rPr>
          <w:rFonts w:ascii="Times New Roman" w:eastAsia="宋体" w:hAnsi="Times New Roman" w:cs="Times New Roman"/>
          <w:color w:val="000000"/>
          <w:kern w:val="0"/>
          <w:sz w:val="24"/>
          <w:szCs w:val="24"/>
        </w:rPr>
        <w:t xml:space="preserve"> </w:t>
      </w:r>
    </w:p>
    <w:sectPr w:rsidR="00D23886" w:rsidRPr="00265257" w:rsidSect="00AE3453">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A12" w:rsidRDefault="00296A12">
      <w:r>
        <w:separator/>
      </w:r>
    </w:p>
  </w:endnote>
  <w:endnote w:type="continuationSeparator" w:id="0">
    <w:p w:rsidR="00296A12" w:rsidRDefault="00296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default"/>
    <w:sig w:usb0="00000000"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FA1" w:rsidRDefault="00AE3453">
    <w:pPr>
      <w:pStyle w:val="a5"/>
      <w:ind w:firstLine="360"/>
    </w:pPr>
    <w:r>
      <w:rPr>
        <w:noProof/>
      </w:rP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7B2FA1" w:rsidRDefault="00AE3453">
                <w:pPr>
                  <w:pStyle w:val="a5"/>
                </w:pPr>
                <w:r>
                  <w:fldChar w:fldCharType="begin"/>
                </w:r>
                <w:r w:rsidR="007B2FA1">
                  <w:instrText xml:space="preserve"> PAGE  \* MERGEFORMAT </w:instrText>
                </w:r>
                <w:r>
                  <w:fldChar w:fldCharType="separate"/>
                </w:r>
                <w:r w:rsidR="00627485">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A12" w:rsidRDefault="00296A12">
      <w:r>
        <w:separator/>
      </w:r>
    </w:p>
  </w:footnote>
  <w:footnote w:type="continuationSeparator" w:id="0">
    <w:p w:rsidR="00296A12" w:rsidRDefault="00296A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BAC070"/>
    <w:multiLevelType w:val="singleLevel"/>
    <w:tmpl w:val="B5BAC070"/>
    <w:lvl w:ilvl="0">
      <w:start w:val="1"/>
      <w:numFmt w:val="decimal"/>
      <w:lvlText w:val="%1."/>
      <w:lvlJc w:val="left"/>
      <w:pPr>
        <w:tabs>
          <w:tab w:val="left" w:pos="312"/>
        </w:tabs>
        <w:ind w:left="-187"/>
      </w:pPr>
    </w:lvl>
  </w:abstractNum>
  <w:abstractNum w:abstractNumId="1">
    <w:nsid w:val="3246190C"/>
    <w:multiLevelType w:val="singleLevel"/>
    <w:tmpl w:val="3246190C"/>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E5MzFjZTdiN2ViMGVmNjIwMGU4NDNlMTU2YWE4N2MifQ=="/>
  </w:docVars>
  <w:rsids>
    <w:rsidRoot w:val="0095149D"/>
    <w:rsid w:val="00006D86"/>
    <w:rsid w:val="0002575B"/>
    <w:rsid w:val="00036A92"/>
    <w:rsid w:val="00042014"/>
    <w:rsid w:val="00045998"/>
    <w:rsid w:val="00053496"/>
    <w:rsid w:val="00056341"/>
    <w:rsid w:val="000629A4"/>
    <w:rsid w:val="00066D60"/>
    <w:rsid w:val="0007692B"/>
    <w:rsid w:val="0008428C"/>
    <w:rsid w:val="00084F2C"/>
    <w:rsid w:val="00090376"/>
    <w:rsid w:val="000A26AA"/>
    <w:rsid w:val="000A346C"/>
    <w:rsid w:val="000B218A"/>
    <w:rsid w:val="000B294F"/>
    <w:rsid w:val="000B367C"/>
    <w:rsid w:val="000B7996"/>
    <w:rsid w:val="000C4504"/>
    <w:rsid w:val="000C4E54"/>
    <w:rsid w:val="000C54CE"/>
    <w:rsid w:val="000C5D97"/>
    <w:rsid w:val="000C7A8C"/>
    <w:rsid w:val="000D44F7"/>
    <w:rsid w:val="000D4FDE"/>
    <w:rsid w:val="000E746D"/>
    <w:rsid w:val="000E7F38"/>
    <w:rsid w:val="000F1018"/>
    <w:rsid w:val="000F2AF2"/>
    <w:rsid w:val="000F4281"/>
    <w:rsid w:val="000F4883"/>
    <w:rsid w:val="0010262E"/>
    <w:rsid w:val="0011094A"/>
    <w:rsid w:val="00120A59"/>
    <w:rsid w:val="0012432A"/>
    <w:rsid w:val="001250B5"/>
    <w:rsid w:val="00127675"/>
    <w:rsid w:val="00127CE0"/>
    <w:rsid w:val="0014460C"/>
    <w:rsid w:val="00146F0D"/>
    <w:rsid w:val="0015066F"/>
    <w:rsid w:val="00151A2A"/>
    <w:rsid w:val="00151DF5"/>
    <w:rsid w:val="00154EDC"/>
    <w:rsid w:val="00162299"/>
    <w:rsid w:val="00173C17"/>
    <w:rsid w:val="001828D4"/>
    <w:rsid w:val="00185291"/>
    <w:rsid w:val="0018622B"/>
    <w:rsid w:val="001874B6"/>
    <w:rsid w:val="00196C35"/>
    <w:rsid w:val="00197160"/>
    <w:rsid w:val="001B14F1"/>
    <w:rsid w:val="001C0FFF"/>
    <w:rsid w:val="001D4E30"/>
    <w:rsid w:val="001D6C03"/>
    <w:rsid w:val="001F045D"/>
    <w:rsid w:val="001F537B"/>
    <w:rsid w:val="00201FE7"/>
    <w:rsid w:val="002072B9"/>
    <w:rsid w:val="00207F8D"/>
    <w:rsid w:val="00210981"/>
    <w:rsid w:val="002138FB"/>
    <w:rsid w:val="00221342"/>
    <w:rsid w:val="00236347"/>
    <w:rsid w:val="00245930"/>
    <w:rsid w:val="00265257"/>
    <w:rsid w:val="00265D35"/>
    <w:rsid w:val="002765F0"/>
    <w:rsid w:val="002824D9"/>
    <w:rsid w:val="002958BB"/>
    <w:rsid w:val="00296A12"/>
    <w:rsid w:val="002A0B36"/>
    <w:rsid w:val="002A6533"/>
    <w:rsid w:val="002B097A"/>
    <w:rsid w:val="002B1FAB"/>
    <w:rsid w:val="002B33D1"/>
    <w:rsid w:val="002B44FF"/>
    <w:rsid w:val="002D0DCE"/>
    <w:rsid w:val="002D47FD"/>
    <w:rsid w:val="002D4867"/>
    <w:rsid w:val="002E2E59"/>
    <w:rsid w:val="002F2C9D"/>
    <w:rsid w:val="002F7D3E"/>
    <w:rsid w:val="00312B9E"/>
    <w:rsid w:val="00315C8C"/>
    <w:rsid w:val="003176A7"/>
    <w:rsid w:val="003312C4"/>
    <w:rsid w:val="00346141"/>
    <w:rsid w:val="00350AF3"/>
    <w:rsid w:val="00351526"/>
    <w:rsid w:val="00362ECB"/>
    <w:rsid w:val="00363112"/>
    <w:rsid w:val="00363A15"/>
    <w:rsid w:val="003648D6"/>
    <w:rsid w:val="00365A00"/>
    <w:rsid w:val="003674AA"/>
    <w:rsid w:val="0037634D"/>
    <w:rsid w:val="003819C7"/>
    <w:rsid w:val="00384A90"/>
    <w:rsid w:val="003A536D"/>
    <w:rsid w:val="003A6DF4"/>
    <w:rsid w:val="003D4018"/>
    <w:rsid w:val="003D6688"/>
    <w:rsid w:val="003E0D00"/>
    <w:rsid w:val="003E25DF"/>
    <w:rsid w:val="003F744B"/>
    <w:rsid w:val="00425272"/>
    <w:rsid w:val="004323FB"/>
    <w:rsid w:val="00433AF8"/>
    <w:rsid w:val="004359AB"/>
    <w:rsid w:val="004533BE"/>
    <w:rsid w:val="00461643"/>
    <w:rsid w:val="004634E5"/>
    <w:rsid w:val="004721C5"/>
    <w:rsid w:val="00480376"/>
    <w:rsid w:val="00481F88"/>
    <w:rsid w:val="00490E1F"/>
    <w:rsid w:val="00494D06"/>
    <w:rsid w:val="004B2580"/>
    <w:rsid w:val="004B5981"/>
    <w:rsid w:val="004B786E"/>
    <w:rsid w:val="004C51F3"/>
    <w:rsid w:val="004D0997"/>
    <w:rsid w:val="004D0C67"/>
    <w:rsid w:val="004E08DE"/>
    <w:rsid w:val="004E177A"/>
    <w:rsid w:val="00500A10"/>
    <w:rsid w:val="00504D14"/>
    <w:rsid w:val="00510C15"/>
    <w:rsid w:val="00516834"/>
    <w:rsid w:val="005239E8"/>
    <w:rsid w:val="00544D75"/>
    <w:rsid w:val="005459C0"/>
    <w:rsid w:val="00556B69"/>
    <w:rsid w:val="0055747B"/>
    <w:rsid w:val="005575A9"/>
    <w:rsid w:val="0055784E"/>
    <w:rsid w:val="005642F2"/>
    <w:rsid w:val="00571AFA"/>
    <w:rsid w:val="00571C67"/>
    <w:rsid w:val="0058000A"/>
    <w:rsid w:val="00581CF8"/>
    <w:rsid w:val="0059230D"/>
    <w:rsid w:val="00597775"/>
    <w:rsid w:val="005A11AD"/>
    <w:rsid w:val="005A125B"/>
    <w:rsid w:val="005B128E"/>
    <w:rsid w:val="005B45C9"/>
    <w:rsid w:val="005B61A1"/>
    <w:rsid w:val="005C2B7D"/>
    <w:rsid w:val="005C3092"/>
    <w:rsid w:val="005C448D"/>
    <w:rsid w:val="005D7393"/>
    <w:rsid w:val="005F4E8D"/>
    <w:rsid w:val="005F5723"/>
    <w:rsid w:val="006030C9"/>
    <w:rsid w:val="00611523"/>
    <w:rsid w:val="00612412"/>
    <w:rsid w:val="006168EC"/>
    <w:rsid w:val="00620880"/>
    <w:rsid w:val="00625440"/>
    <w:rsid w:val="00626751"/>
    <w:rsid w:val="00627485"/>
    <w:rsid w:val="00642B6A"/>
    <w:rsid w:val="00677451"/>
    <w:rsid w:val="00693B2F"/>
    <w:rsid w:val="006947FC"/>
    <w:rsid w:val="00695A34"/>
    <w:rsid w:val="006A0CF9"/>
    <w:rsid w:val="006A50FB"/>
    <w:rsid w:val="006B607D"/>
    <w:rsid w:val="006B743C"/>
    <w:rsid w:val="006C142E"/>
    <w:rsid w:val="006C6E3D"/>
    <w:rsid w:val="006D4A35"/>
    <w:rsid w:val="006E71D2"/>
    <w:rsid w:val="006F0B23"/>
    <w:rsid w:val="006F24F0"/>
    <w:rsid w:val="006F681B"/>
    <w:rsid w:val="006F6A0B"/>
    <w:rsid w:val="00713613"/>
    <w:rsid w:val="00716832"/>
    <w:rsid w:val="00730B0A"/>
    <w:rsid w:val="00734AA9"/>
    <w:rsid w:val="0074140C"/>
    <w:rsid w:val="00743ABC"/>
    <w:rsid w:val="007509CD"/>
    <w:rsid w:val="007564D4"/>
    <w:rsid w:val="007636E5"/>
    <w:rsid w:val="0077656C"/>
    <w:rsid w:val="00782D97"/>
    <w:rsid w:val="00784A0C"/>
    <w:rsid w:val="00785465"/>
    <w:rsid w:val="00785493"/>
    <w:rsid w:val="00791851"/>
    <w:rsid w:val="007A14AE"/>
    <w:rsid w:val="007A1667"/>
    <w:rsid w:val="007A3193"/>
    <w:rsid w:val="007A40A4"/>
    <w:rsid w:val="007A4160"/>
    <w:rsid w:val="007B2821"/>
    <w:rsid w:val="007B2D60"/>
    <w:rsid w:val="007B2FA1"/>
    <w:rsid w:val="007B52DD"/>
    <w:rsid w:val="007C1724"/>
    <w:rsid w:val="007C2078"/>
    <w:rsid w:val="007C4F35"/>
    <w:rsid w:val="007F032D"/>
    <w:rsid w:val="007F18E9"/>
    <w:rsid w:val="007F4474"/>
    <w:rsid w:val="00803BAD"/>
    <w:rsid w:val="008066E7"/>
    <w:rsid w:val="008111BA"/>
    <w:rsid w:val="008134F0"/>
    <w:rsid w:val="008166C8"/>
    <w:rsid w:val="00825272"/>
    <w:rsid w:val="008379CB"/>
    <w:rsid w:val="00841071"/>
    <w:rsid w:val="0084478E"/>
    <w:rsid w:val="00857DCC"/>
    <w:rsid w:val="00863949"/>
    <w:rsid w:val="00864220"/>
    <w:rsid w:val="00867D5A"/>
    <w:rsid w:val="0087047E"/>
    <w:rsid w:val="00874189"/>
    <w:rsid w:val="00876FE4"/>
    <w:rsid w:val="00884370"/>
    <w:rsid w:val="00884455"/>
    <w:rsid w:val="008848A5"/>
    <w:rsid w:val="0088562F"/>
    <w:rsid w:val="008859F5"/>
    <w:rsid w:val="00886A72"/>
    <w:rsid w:val="008922FD"/>
    <w:rsid w:val="008A1A8A"/>
    <w:rsid w:val="008A2C42"/>
    <w:rsid w:val="008A3752"/>
    <w:rsid w:val="008B4CF9"/>
    <w:rsid w:val="008B6875"/>
    <w:rsid w:val="008C61BE"/>
    <w:rsid w:val="008C621A"/>
    <w:rsid w:val="008C680A"/>
    <w:rsid w:val="008D075B"/>
    <w:rsid w:val="008D1AD1"/>
    <w:rsid w:val="008E2F67"/>
    <w:rsid w:val="008E3A8F"/>
    <w:rsid w:val="008E52F9"/>
    <w:rsid w:val="008E6325"/>
    <w:rsid w:val="008F73AC"/>
    <w:rsid w:val="00904F56"/>
    <w:rsid w:val="0090524C"/>
    <w:rsid w:val="0092545D"/>
    <w:rsid w:val="00935F9F"/>
    <w:rsid w:val="00936806"/>
    <w:rsid w:val="009477B8"/>
    <w:rsid w:val="0095149D"/>
    <w:rsid w:val="0096279B"/>
    <w:rsid w:val="00963CE0"/>
    <w:rsid w:val="009642E1"/>
    <w:rsid w:val="009650D9"/>
    <w:rsid w:val="00974EA7"/>
    <w:rsid w:val="00982ED9"/>
    <w:rsid w:val="00984FD7"/>
    <w:rsid w:val="00987864"/>
    <w:rsid w:val="0099043D"/>
    <w:rsid w:val="009B41C6"/>
    <w:rsid w:val="009B4BC0"/>
    <w:rsid w:val="009C3E88"/>
    <w:rsid w:val="009D03C9"/>
    <w:rsid w:val="009D5CA5"/>
    <w:rsid w:val="009F17BB"/>
    <w:rsid w:val="009F49D2"/>
    <w:rsid w:val="009F4F82"/>
    <w:rsid w:val="00A042E0"/>
    <w:rsid w:val="00A072EC"/>
    <w:rsid w:val="00A21AB6"/>
    <w:rsid w:val="00A27434"/>
    <w:rsid w:val="00A27C99"/>
    <w:rsid w:val="00A3504A"/>
    <w:rsid w:val="00A4771C"/>
    <w:rsid w:val="00A56B47"/>
    <w:rsid w:val="00A660DF"/>
    <w:rsid w:val="00A662BD"/>
    <w:rsid w:val="00A83C5E"/>
    <w:rsid w:val="00AC751A"/>
    <w:rsid w:val="00AE3163"/>
    <w:rsid w:val="00AE3453"/>
    <w:rsid w:val="00AF162F"/>
    <w:rsid w:val="00B13C87"/>
    <w:rsid w:val="00B13CC0"/>
    <w:rsid w:val="00B23CD5"/>
    <w:rsid w:val="00B3482B"/>
    <w:rsid w:val="00B404BE"/>
    <w:rsid w:val="00B42104"/>
    <w:rsid w:val="00B4617E"/>
    <w:rsid w:val="00B51C6D"/>
    <w:rsid w:val="00B55C25"/>
    <w:rsid w:val="00B567DE"/>
    <w:rsid w:val="00B65FA4"/>
    <w:rsid w:val="00B6737C"/>
    <w:rsid w:val="00B72E56"/>
    <w:rsid w:val="00B75400"/>
    <w:rsid w:val="00B803E1"/>
    <w:rsid w:val="00B828E2"/>
    <w:rsid w:val="00B90D8C"/>
    <w:rsid w:val="00BA075D"/>
    <w:rsid w:val="00BC10C4"/>
    <w:rsid w:val="00BC797D"/>
    <w:rsid w:val="00BD3600"/>
    <w:rsid w:val="00BE56DC"/>
    <w:rsid w:val="00BE7F4C"/>
    <w:rsid w:val="00BF0072"/>
    <w:rsid w:val="00BF3232"/>
    <w:rsid w:val="00BF3BBE"/>
    <w:rsid w:val="00BF659E"/>
    <w:rsid w:val="00C010ED"/>
    <w:rsid w:val="00C11827"/>
    <w:rsid w:val="00C235B3"/>
    <w:rsid w:val="00C23A66"/>
    <w:rsid w:val="00C25022"/>
    <w:rsid w:val="00C26B1D"/>
    <w:rsid w:val="00C30172"/>
    <w:rsid w:val="00C31838"/>
    <w:rsid w:val="00C33EF3"/>
    <w:rsid w:val="00C3573B"/>
    <w:rsid w:val="00C4110B"/>
    <w:rsid w:val="00C43FE0"/>
    <w:rsid w:val="00C502FB"/>
    <w:rsid w:val="00C51888"/>
    <w:rsid w:val="00C5312D"/>
    <w:rsid w:val="00C538C6"/>
    <w:rsid w:val="00C55DE2"/>
    <w:rsid w:val="00C5620F"/>
    <w:rsid w:val="00C638FB"/>
    <w:rsid w:val="00C66593"/>
    <w:rsid w:val="00C66F18"/>
    <w:rsid w:val="00C75CCD"/>
    <w:rsid w:val="00C845CC"/>
    <w:rsid w:val="00C9348C"/>
    <w:rsid w:val="00C9529D"/>
    <w:rsid w:val="00CA003C"/>
    <w:rsid w:val="00CA3F1F"/>
    <w:rsid w:val="00CA7BDB"/>
    <w:rsid w:val="00CB21A8"/>
    <w:rsid w:val="00CE150F"/>
    <w:rsid w:val="00CF5C05"/>
    <w:rsid w:val="00D04E1E"/>
    <w:rsid w:val="00D1074E"/>
    <w:rsid w:val="00D23886"/>
    <w:rsid w:val="00D306E1"/>
    <w:rsid w:val="00D37FCD"/>
    <w:rsid w:val="00D40ADF"/>
    <w:rsid w:val="00D451F0"/>
    <w:rsid w:val="00D47EC5"/>
    <w:rsid w:val="00D51613"/>
    <w:rsid w:val="00D51A54"/>
    <w:rsid w:val="00D54B13"/>
    <w:rsid w:val="00D66DDF"/>
    <w:rsid w:val="00D72A5C"/>
    <w:rsid w:val="00D73CC0"/>
    <w:rsid w:val="00D7670E"/>
    <w:rsid w:val="00D81CA7"/>
    <w:rsid w:val="00D83225"/>
    <w:rsid w:val="00D9091A"/>
    <w:rsid w:val="00D9709A"/>
    <w:rsid w:val="00DA2B71"/>
    <w:rsid w:val="00DA3EDF"/>
    <w:rsid w:val="00DA5200"/>
    <w:rsid w:val="00DA644F"/>
    <w:rsid w:val="00DB15E2"/>
    <w:rsid w:val="00DB3A8F"/>
    <w:rsid w:val="00DC56C7"/>
    <w:rsid w:val="00DC72C1"/>
    <w:rsid w:val="00DD41EF"/>
    <w:rsid w:val="00DD441A"/>
    <w:rsid w:val="00DD6809"/>
    <w:rsid w:val="00DD7D88"/>
    <w:rsid w:val="00DE1C73"/>
    <w:rsid w:val="00DE5156"/>
    <w:rsid w:val="00DE523A"/>
    <w:rsid w:val="00DF4A98"/>
    <w:rsid w:val="00E00266"/>
    <w:rsid w:val="00E10D54"/>
    <w:rsid w:val="00E17B0E"/>
    <w:rsid w:val="00E21F79"/>
    <w:rsid w:val="00E26766"/>
    <w:rsid w:val="00E37C66"/>
    <w:rsid w:val="00E456E5"/>
    <w:rsid w:val="00E77EAA"/>
    <w:rsid w:val="00E77FEB"/>
    <w:rsid w:val="00E8227F"/>
    <w:rsid w:val="00E839E2"/>
    <w:rsid w:val="00E97B45"/>
    <w:rsid w:val="00EA59D3"/>
    <w:rsid w:val="00EA5AB1"/>
    <w:rsid w:val="00EB2199"/>
    <w:rsid w:val="00EB58EC"/>
    <w:rsid w:val="00EB6530"/>
    <w:rsid w:val="00EB66FC"/>
    <w:rsid w:val="00ED40A6"/>
    <w:rsid w:val="00EE5BEB"/>
    <w:rsid w:val="00F17C9E"/>
    <w:rsid w:val="00F21601"/>
    <w:rsid w:val="00F23869"/>
    <w:rsid w:val="00F25010"/>
    <w:rsid w:val="00F30676"/>
    <w:rsid w:val="00F35C50"/>
    <w:rsid w:val="00F364AA"/>
    <w:rsid w:val="00F444CC"/>
    <w:rsid w:val="00F46F71"/>
    <w:rsid w:val="00F779F3"/>
    <w:rsid w:val="00F81D69"/>
    <w:rsid w:val="00F86886"/>
    <w:rsid w:val="00F97587"/>
    <w:rsid w:val="00FA3976"/>
    <w:rsid w:val="00FA6D41"/>
    <w:rsid w:val="00FA70AA"/>
    <w:rsid w:val="00FB0F2A"/>
    <w:rsid w:val="00FB1416"/>
    <w:rsid w:val="00FC02BD"/>
    <w:rsid w:val="00FC05B3"/>
    <w:rsid w:val="00FC1EE8"/>
    <w:rsid w:val="00FD3151"/>
    <w:rsid w:val="00FD346C"/>
    <w:rsid w:val="00FD4EF4"/>
    <w:rsid w:val="00FE0015"/>
    <w:rsid w:val="00FE17F2"/>
    <w:rsid w:val="00FE4195"/>
    <w:rsid w:val="00FE50F1"/>
    <w:rsid w:val="00FE56E7"/>
    <w:rsid w:val="00FE650B"/>
    <w:rsid w:val="00FF1017"/>
    <w:rsid w:val="00FF400E"/>
    <w:rsid w:val="013366C7"/>
    <w:rsid w:val="014844D0"/>
    <w:rsid w:val="04983E5B"/>
    <w:rsid w:val="05F833C3"/>
    <w:rsid w:val="06624721"/>
    <w:rsid w:val="067A7CBC"/>
    <w:rsid w:val="06E15F8D"/>
    <w:rsid w:val="088875E7"/>
    <w:rsid w:val="08AB409B"/>
    <w:rsid w:val="08B8119C"/>
    <w:rsid w:val="096E756B"/>
    <w:rsid w:val="099334D6"/>
    <w:rsid w:val="09A204B7"/>
    <w:rsid w:val="09AB2883"/>
    <w:rsid w:val="09CF4947"/>
    <w:rsid w:val="0AA25A34"/>
    <w:rsid w:val="0C1968EF"/>
    <w:rsid w:val="0CE80073"/>
    <w:rsid w:val="0E1A7192"/>
    <w:rsid w:val="0E210D73"/>
    <w:rsid w:val="0F727623"/>
    <w:rsid w:val="155A14C9"/>
    <w:rsid w:val="171E6442"/>
    <w:rsid w:val="17505B48"/>
    <w:rsid w:val="182C186C"/>
    <w:rsid w:val="18A36DC5"/>
    <w:rsid w:val="1CFB1B1B"/>
    <w:rsid w:val="1D900110"/>
    <w:rsid w:val="1E017A3B"/>
    <w:rsid w:val="1E7D4396"/>
    <w:rsid w:val="1F47279E"/>
    <w:rsid w:val="21A97250"/>
    <w:rsid w:val="21AF52EC"/>
    <w:rsid w:val="2262687C"/>
    <w:rsid w:val="24B52236"/>
    <w:rsid w:val="2559436E"/>
    <w:rsid w:val="25D12804"/>
    <w:rsid w:val="25E72C40"/>
    <w:rsid w:val="27392E24"/>
    <w:rsid w:val="279E2948"/>
    <w:rsid w:val="2A0239A1"/>
    <w:rsid w:val="2AB56886"/>
    <w:rsid w:val="2B0C2529"/>
    <w:rsid w:val="2C4C405C"/>
    <w:rsid w:val="2C9125DD"/>
    <w:rsid w:val="2D3E51C6"/>
    <w:rsid w:val="2DC56FD2"/>
    <w:rsid w:val="2EA740F1"/>
    <w:rsid w:val="30E85FDF"/>
    <w:rsid w:val="31045EFC"/>
    <w:rsid w:val="318E3080"/>
    <w:rsid w:val="32474B02"/>
    <w:rsid w:val="328D060F"/>
    <w:rsid w:val="32E53E60"/>
    <w:rsid w:val="33F157C8"/>
    <w:rsid w:val="341C6915"/>
    <w:rsid w:val="34A07961"/>
    <w:rsid w:val="34F43069"/>
    <w:rsid w:val="363650FE"/>
    <w:rsid w:val="374E4294"/>
    <w:rsid w:val="39BB69AA"/>
    <w:rsid w:val="3B1F0857"/>
    <w:rsid w:val="3CBE5E4E"/>
    <w:rsid w:val="404B3E9C"/>
    <w:rsid w:val="40BF2194"/>
    <w:rsid w:val="42184DFB"/>
    <w:rsid w:val="43010842"/>
    <w:rsid w:val="44667AF5"/>
    <w:rsid w:val="460D705D"/>
    <w:rsid w:val="465F3A31"/>
    <w:rsid w:val="467F72E2"/>
    <w:rsid w:val="494B25B5"/>
    <w:rsid w:val="4B4439C2"/>
    <w:rsid w:val="4BEB1F53"/>
    <w:rsid w:val="4D837B66"/>
    <w:rsid w:val="4F0B7A65"/>
    <w:rsid w:val="50642599"/>
    <w:rsid w:val="552808D8"/>
    <w:rsid w:val="569E48CE"/>
    <w:rsid w:val="59126EAD"/>
    <w:rsid w:val="5B190DF3"/>
    <w:rsid w:val="5D2210B1"/>
    <w:rsid w:val="5E671A49"/>
    <w:rsid w:val="5F6D226A"/>
    <w:rsid w:val="60BE2092"/>
    <w:rsid w:val="625E6DC9"/>
    <w:rsid w:val="62722D9A"/>
    <w:rsid w:val="632919C3"/>
    <w:rsid w:val="64AF7CA6"/>
    <w:rsid w:val="69E1025F"/>
    <w:rsid w:val="69E54A7A"/>
    <w:rsid w:val="69EE301F"/>
    <w:rsid w:val="6F9603E0"/>
    <w:rsid w:val="6FD40F09"/>
    <w:rsid w:val="70D40F79"/>
    <w:rsid w:val="725C0D92"/>
    <w:rsid w:val="73027C94"/>
    <w:rsid w:val="73E22188"/>
    <w:rsid w:val="749722CA"/>
    <w:rsid w:val="75F47C0F"/>
    <w:rsid w:val="7671125F"/>
    <w:rsid w:val="76962A74"/>
    <w:rsid w:val="77E60F25"/>
    <w:rsid w:val="780521E4"/>
    <w:rsid w:val="78911745"/>
    <w:rsid w:val="7D2D4C6E"/>
    <w:rsid w:val="7DE92D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E345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AE3453"/>
    <w:pPr>
      <w:keepNext/>
      <w:keepLines/>
      <w:spacing w:line="360" w:lineRule="auto"/>
      <w:ind w:leftChars="200" w:left="200"/>
      <w:outlineLvl w:val="0"/>
    </w:pPr>
    <w:rPr>
      <w:rFonts w:ascii="Calibri" w:eastAsia="黑体" w:hAnsi="Calibri" w:cs="Times New Roman"/>
      <w:b/>
      <w:bCs/>
      <w:kern w:val="44"/>
      <w:sz w:val="32"/>
      <w:szCs w:val="44"/>
    </w:rPr>
  </w:style>
  <w:style w:type="paragraph" w:styleId="2">
    <w:name w:val="heading 2"/>
    <w:basedOn w:val="a"/>
    <w:next w:val="a"/>
    <w:link w:val="2Char"/>
    <w:uiPriority w:val="9"/>
    <w:qFormat/>
    <w:rsid w:val="00AE3453"/>
    <w:pPr>
      <w:keepNext/>
      <w:keepLines/>
      <w:spacing w:line="360" w:lineRule="auto"/>
      <w:ind w:leftChars="200" w:left="200"/>
      <w:outlineLvl w:val="1"/>
    </w:pPr>
    <w:rPr>
      <w:rFonts w:ascii="Cambria" w:eastAsia="仿宋" w:hAnsi="Cambria" w:cs="Times New Roman"/>
      <w:b/>
      <w:bCs/>
      <w:sz w:val="28"/>
      <w:szCs w:val="32"/>
    </w:rPr>
  </w:style>
  <w:style w:type="paragraph" w:styleId="3">
    <w:name w:val="heading 3"/>
    <w:basedOn w:val="a"/>
    <w:next w:val="a"/>
    <w:link w:val="3Char"/>
    <w:uiPriority w:val="9"/>
    <w:unhideWhenUsed/>
    <w:qFormat/>
    <w:rsid w:val="00AE3453"/>
    <w:pPr>
      <w:keepNext/>
      <w:keepLines/>
      <w:snapToGrid w:val="0"/>
      <w:spacing w:line="360" w:lineRule="auto"/>
      <w:ind w:leftChars="300" w:left="300"/>
      <w:outlineLvl w:val="2"/>
    </w:pPr>
    <w:rPr>
      <w:rFonts w:eastAsia="仿宋"/>
      <w:b/>
      <w:bCs/>
      <w:sz w:val="28"/>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rsid w:val="00AE3453"/>
    <w:pPr>
      <w:spacing w:after="120"/>
    </w:pPr>
    <w:rPr>
      <w:rFonts w:ascii="Times New Roman" w:eastAsia="宋体" w:hAnsi="Calibri" w:cs="Calibri"/>
      <w:szCs w:val="24"/>
    </w:rPr>
  </w:style>
  <w:style w:type="paragraph" w:styleId="a4">
    <w:name w:val="annotation text"/>
    <w:basedOn w:val="a"/>
    <w:link w:val="Char0"/>
    <w:uiPriority w:val="99"/>
    <w:semiHidden/>
    <w:unhideWhenUsed/>
    <w:qFormat/>
    <w:rsid w:val="00AE3453"/>
    <w:pPr>
      <w:jc w:val="left"/>
    </w:pPr>
  </w:style>
  <w:style w:type="paragraph" w:styleId="30">
    <w:name w:val="toc 3"/>
    <w:basedOn w:val="a"/>
    <w:next w:val="a"/>
    <w:uiPriority w:val="39"/>
    <w:unhideWhenUsed/>
    <w:qFormat/>
    <w:rsid w:val="00AE3453"/>
    <w:pPr>
      <w:widowControl/>
      <w:spacing w:after="100" w:line="259" w:lineRule="auto"/>
      <w:ind w:left="440"/>
      <w:jc w:val="left"/>
    </w:pPr>
    <w:rPr>
      <w:rFonts w:cs="Times New Roman"/>
      <w:kern w:val="0"/>
      <w:sz w:val="22"/>
    </w:rPr>
  </w:style>
  <w:style w:type="paragraph" w:styleId="a5">
    <w:name w:val="footer"/>
    <w:basedOn w:val="a"/>
    <w:link w:val="Char1"/>
    <w:unhideWhenUsed/>
    <w:qFormat/>
    <w:rsid w:val="00AE3453"/>
    <w:pPr>
      <w:tabs>
        <w:tab w:val="center" w:pos="4153"/>
        <w:tab w:val="right" w:pos="8306"/>
      </w:tabs>
      <w:snapToGrid w:val="0"/>
      <w:jc w:val="left"/>
    </w:pPr>
    <w:rPr>
      <w:sz w:val="18"/>
      <w:szCs w:val="18"/>
    </w:rPr>
  </w:style>
  <w:style w:type="paragraph" w:styleId="a6">
    <w:name w:val="header"/>
    <w:basedOn w:val="a"/>
    <w:link w:val="Char2"/>
    <w:unhideWhenUsed/>
    <w:qFormat/>
    <w:rsid w:val="00AE345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E3453"/>
    <w:pPr>
      <w:widowControl/>
      <w:spacing w:after="100" w:line="259" w:lineRule="auto"/>
      <w:jc w:val="left"/>
    </w:pPr>
    <w:rPr>
      <w:rFonts w:cs="Times New Roman"/>
      <w:kern w:val="0"/>
      <w:sz w:val="22"/>
    </w:rPr>
  </w:style>
  <w:style w:type="paragraph" w:styleId="20">
    <w:name w:val="toc 2"/>
    <w:basedOn w:val="a"/>
    <w:next w:val="a"/>
    <w:uiPriority w:val="39"/>
    <w:unhideWhenUsed/>
    <w:qFormat/>
    <w:rsid w:val="00AE3453"/>
    <w:pPr>
      <w:widowControl/>
      <w:spacing w:after="100" w:line="259" w:lineRule="auto"/>
      <w:ind w:left="220"/>
      <w:jc w:val="left"/>
    </w:pPr>
    <w:rPr>
      <w:rFonts w:cs="Times New Roman"/>
      <w:kern w:val="0"/>
      <w:sz w:val="22"/>
    </w:rPr>
  </w:style>
  <w:style w:type="paragraph" w:styleId="a7">
    <w:name w:val="annotation subject"/>
    <w:basedOn w:val="a4"/>
    <w:next w:val="a4"/>
    <w:link w:val="Char3"/>
    <w:uiPriority w:val="99"/>
    <w:semiHidden/>
    <w:unhideWhenUsed/>
    <w:qFormat/>
    <w:rsid w:val="00AE3453"/>
    <w:rPr>
      <w:b/>
      <w:bCs/>
    </w:rPr>
  </w:style>
  <w:style w:type="table" w:styleId="a8">
    <w:name w:val="Table Grid"/>
    <w:basedOn w:val="a2"/>
    <w:qFormat/>
    <w:rsid w:val="00AE3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1"/>
    <w:uiPriority w:val="22"/>
    <w:qFormat/>
    <w:rsid w:val="00AE3453"/>
    <w:rPr>
      <w:b/>
    </w:rPr>
  </w:style>
  <w:style w:type="character" w:styleId="aa">
    <w:name w:val="Hyperlink"/>
    <w:basedOn w:val="a1"/>
    <w:uiPriority w:val="99"/>
    <w:unhideWhenUsed/>
    <w:qFormat/>
    <w:rsid w:val="00AE3453"/>
    <w:rPr>
      <w:color w:val="0563C1" w:themeColor="hyperlink"/>
      <w:u w:val="single"/>
    </w:rPr>
  </w:style>
  <w:style w:type="character" w:styleId="ab">
    <w:name w:val="annotation reference"/>
    <w:basedOn w:val="a1"/>
    <w:uiPriority w:val="99"/>
    <w:semiHidden/>
    <w:unhideWhenUsed/>
    <w:qFormat/>
    <w:rsid w:val="00AE3453"/>
    <w:rPr>
      <w:sz w:val="21"/>
      <w:szCs w:val="21"/>
    </w:rPr>
  </w:style>
  <w:style w:type="character" w:customStyle="1" w:styleId="1Char">
    <w:name w:val="标题 1 Char"/>
    <w:basedOn w:val="a1"/>
    <w:link w:val="1"/>
    <w:uiPriority w:val="9"/>
    <w:qFormat/>
    <w:rsid w:val="00AE3453"/>
    <w:rPr>
      <w:rFonts w:ascii="Calibri" w:eastAsia="黑体" w:hAnsi="Calibri" w:cs="Times New Roman"/>
      <w:b/>
      <w:bCs/>
      <w:kern w:val="44"/>
      <w:sz w:val="32"/>
      <w:szCs w:val="44"/>
    </w:rPr>
  </w:style>
  <w:style w:type="character" w:customStyle="1" w:styleId="2Char">
    <w:name w:val="标题 2 Char"/>
    <w:basedOn w:val="a1"/>
    <w:link w:val="2"/>
    <w:uiPriority w:val="9"/>
    <w:qFormat/>
    <w:rsid w:val="00AE3453"/>
    <w:rPr>
      <w:rFonts w:ascii="Cambria" w:eastAsia="仿宋" w:hAnsi="Cambria" w:cs="Times New Roman"/>
      <w:b/>
      <w:bCs/>
      <w:sz w:val="28"/>
      <w:szCs w:val="32"/>
    </w:rPr>
  </w:style>
  <w:style w:type="paragraph" w:styleId="ac">
    <w:name w:val="List Paragraph"/>
    <w:basedOn w:val="a"/>
    <w:uiPriority w:val="34"/>
    <w:qFormat/>
    <w:rsid w:val="00AE3453"/>
    <w:pPr>
      <w:ind w:firstLineChars="200" w:firstLine="420"/>
    </w:pPr>
  </w:style>
  <w:style w:type="paragraph" w:customStyle="1" w:styleId="TableParagraph">
    <w:name w:val="Table Paragraph"/>
    <w:basedOn w:val="a"/>
    <w:uiPriority w:val="1"/>
    <w:qFormat/>
    <w:rsid w:val="00AE3453"/>
    <w:rPr>
      <w:rFonts w:ascii="仿宋" w:eastAsia="仿宋" w:hAnsi="仿宋" w:cs="仿宋"/>
      <w:szCs w:val="24"/>
      <w:lang w:val="zh-CN" w:bidi="zh-CN"/>
    </w:rPr>
  </w:style>
  <w:style w:type="character" w:customStyle="1" w:styleId="Char">
    <w:name w:val="正文文本 Char"/>
    <w:basedOn w:val="a1"/>
    <w:link w:val="a0"/>
    <w:qFormat/>
    <w:rsid w:val="00AE3453"/>
    <w:rPr>
      <w:rFonts w:ascii="Times New Roman" w:eastAsia="宋体" w:hAnsi="Calibri" w:cs="Calibri"/>
      <w:szCs w:val="24"/>
    </w:rPr>
  </w:style>
  <w:style w:type="character" w:customStyle="1" w:styleId="Char2">
    <w:name w:val="页眉 Char"/>
    <w:basedOn w:val="a1"/>
    <w:link w:val="a6"/>
    <w:qFormat/>
    <w:rsid w:val="00AE3453"/>
    <w:rPr>
      <w:sz w:val="18"/>
      <w:szCs w:val="18"/>
    </w:rPr>
  </w:style>
  <w:style w:type="character" w:customStyle="1" w:styleId="Char1">
    <w:name w:val="页脚 Char"/>
    <w:basedOn w:val="a1"/>
    <w:link w:val="a5"/>
    <w:qFormat/>
    <w:rsid w:val="00AE3453"/>
    <w:rPr>
      <w:sz w:val="18"/>
      <w:szCs w:val="18"/>
    </w:rPr>
  </w:style>
  <w:style w:type="character" w:customStyle="1" w:styleId="3Char">
    <w:name w:val="标题 3 Char"/>
    <w:basedOn w:val="a1"/>
    <w:link w:val="3"/>
    <w:uiPriority w:val="9"/>
    <w:qFormat/>
    <w:rsid w:val="00AE3453"/>
    <w:rPr>
      <w:rFonts w:eastAsia="仿宋"/>
      <w:b/>
      <w:bCs/>
      <w:sz w:val="28"/>
      <w:szCs w:val="32"/>
    </w:rPr>
  </w:style>
  <w:style w:type="paragraph" w:customStyle="1" w:styleId="TOC1">
    <w:name w:val="TOC 标题1"/>
    <w:basedOn w:val="1"/>
    <w:next w:val="a"/>
    <w:uiPriority w:val="39"/>
    <w:unhideWhenUsed/>
    <w:qFormat/>
    <w:rsid w:val="00AE3453"/>
    <w:pPr>
      <w:widowControl/>
      <w:spacing w:before="240" w:line="259" w:lineRule="auto"/>
      <w:ind w:leftChars="0" w:left="0"/>
      <w:jc w:val="left"/>
      <w:outlineLvl w:val="9"/>
    </w:pPr>
    <w:rPr>
      <w:rFonts w:asciiTheme="majorHAnsi" w:eastAsiaTheme="majorEastAsia" w:hAnsiTheme="majorHAnsi" w:cstheme="majorBidi"/>
      <w:b w:val="0"/>
      <w:bCs w:val="0"/>
      <w:color w:val="2F5496" w:themeColor="accent1" w:themeShade="BF"/>
      <w:kern w:val="0"/>
      <w:szCs w:val="32"/>
    </w:rPr>
  </w:style>
  <w:style w:type="character" w:customStyle="1" w:styleId="Char0">
    <w:name w:val="批注文字 Char"/>
    <w:basedOn w:val="a1"/>
    <w:link w:val="a4"/>
    <w:uiPriority w:val="99"/>
    <w:semiHidden/>
    <w:qFormat/>
    <w:rsid w:val="00AE3453"/>
    <w:rPr>
      <w:rFonts w:asciiTheme="minorHAnsi" w:eastAsiaTheme="minorEastAsia" w:hAnsiTheme="minorHAnsi" w:cstheme="minorBidi"/>
      <w:kern w:val="2"/>
      <w:sz w:val="21"/>
      <w:szCs w:val="22"/>
    </w:rPr>
  </w:style>
  <w:style w:type="character" w:customStyle="1" w:styleId="Char3">
    <w:name w:val="批注主题 Char"/>
    <w:basedOn w:val="Char0"/>
    <w:link w:val="a7"/>
    <w:uiPriority w:val="99"/>
    <w:semiHidden/>
    <w:qFormat/>
    <w:rsid w:val="00AE3453"/>
    <w:rPr>
      <w:rFonts w:asciiTheme="minorHAnsi" w:eastAsiaTheme="minorEastAsia" w:hAnsiTheme="minorHAnsi" w:cstheme="minorBidi"/>
      <w:b/>
      <w:bCs/>
      <w:kern w:val="2"/>
      <w:sz w:val="21"/>
      <w:szCs w:val="22"/>
    </w:rPr>
  </w:style>
  <w:style w:type="character" w:customStyle="1" w:styleId="font21">
    <w:name w:val="font21"/>
    <w:basedOn w:val="a1"/>
    <w:qFormat/>
    <w:rsid w:val="00AE3453"/>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F5A1EC-4A24-4579-B387-41A9193A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33</Pages>
  <Words>3500</Words>
  <Characters>19951</Characters>
  <Application>Microsoft Office Word</Application>
  <DocSecurity>0</DocSecurity>
  <Lines>166</Lines>
  <Paragraphs>46</Paragraphs>
  <ScaleCrop>false</ScaleCrop>
  <Company>微软中国</Company>
  <LinksUpToDate>false</LinksUpToDate>
  <CharactersWithSpaces>23405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301069060@qq.com</dc:creator>
  <cp:lastModifiedBy>Administrator</cp:lastModifiedBy>
  <cp:revision>95</cp:revision>
  <dcterms:created xsi:type="dcterms:W3CDTF">2021-10-16T06:02:00Z</dcterms:created>
  <dcterms:modified xsi:type="dcterms:W3CDTF">2023-01-08T13:39:00Z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96407F916BB8403AA31387993B9AC4D8</vt:lpwstr>
  </property>
</Properties>
</file>